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BA98" w14:textId="5C410484" w:rsidR="009E0FCB" w:rsidRPr="00710223" w:rsidRDefault="00925A98" w:rsidP="00DB164E">
      <w:pPr>
        <w:spacing w:after="23"/>
        <w:ind w:left="449" w:right="708"/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noProof/>
          <w:color w:val="002060"/>
          <w:sz w:val="20"/>
          <w:szCs w:val="20"/>
          <w:lang w:val="en-US"/>
        </w:rPr>
        <w:drawing>
          <wp:inline distT="0" distB="0" distL="0" distR="0" wp14:anchorId="0DBE4134" wp14:editId="549D6E9B">
            <wp:extent cx="2369464" cy="723846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64" cy="7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08B" w:rsidRPr="00710223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 xml:space="preserve"> </w:t>
      </w:r>
    </w:p>
    <w:p w14:paraId="455718DD" w14:textId="77777777" w:rsidR="00925A98" w:rsidRPr="00710223" w:rsidRDefault="00925A98">
      <w:pPr>
        <w:spacing w:after="23"/>
        <w:ind w:left="44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A1810AA" w14:textId="3E07B5C7" w:rsidR="009E0FCB" w:rsidRPr="0052696D" w:rsidRDefault="00EE037C" w:rsidP="00DB164E">
      <w:pPr>
        <w:ind w:left="349" w:right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REPUBLIC OF TURKEY</w:t>
      </w:r>
    </w:p>
    <w:p w14:paraId="3844337C" w14:textId="5C64FE56" w:rsidR="009E0FCB" w:rsidRPr="0052696D" w:rsidRDefault="00EE037C" w:rsidP="00710223">
      <w:pPr>
        <w:spacing w:after="16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708B" w:rsidRPr="0052696D">
        <w:rPr>
          <w:rFonts w:ascii="Times New Roman" w:hAnsi="Times New Roman" w:cs="Times New Roman"/>
          <w:b/>
          <w:sz w:val="28"/>
          <w:szCs w:val="28"/>
          <w:lang w:val="en-US"/>
        </w:rPr>
        <w:t>STANBUL MED</w:t>
      </w: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708B" w:rsidRPr="00526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POL </w:t>
      </w: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</w:p>
    <w:p w14:paraId="2B77DAD7" w14:textId="4755726E" w:rsidR="009E0FCB" w:rsidRPr="0052696D" w:rsidRDefault="00EE037C">
      <w:pPr>
        <w:spacing w:after="122"/>
        <w:ind w:left="34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INTERNATIONAL SCHOOL OF MEDICINE</w:t>
      </w:r>
    </w:p>
    <w:p w14:paraId="301325D3" w14:textId="77777777" w:rsidR="009E0FCB" w:rsidRPr="00710223" w:rsidRDefault="007A708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 xml:space="preserve"> </w:t>
      </w:r>
    </w:p>
    <w:p w14:paraId="699EE093" w14:textId="77777777" w:rsidR="009E0FCB" w:rsidRPr="00710223" w:rsidRDefault="007A708B">
      <w:pPr>
        <w:spacing w:after="76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 xml:space="preserve"> </w:t>
      </w:r>
    </w:p>
    <w:p w14:paraId="0F1A47D7" w14:textId="77777777" w:rsidR="009E0FCB" w:rsidRPr="00710223" w:rsidRDefault="007A708B">
      <w:pPr>
        <w:spacing w:after="33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3CFEA85" wp14:editId="3A64E342">
            <wp:extent cx="5196967" cy="180276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967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223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 xml:space="preserve"> </w:t>
      </w:r>
    </w:p>
    <w:p w14:paraId="7E42ADD0" w14:textId="77777777" w:rsidR="009E0FCB" w:rsidRPr="00710223" w:rsidRDefault="007A708B">
      <w:pPr>
        <w:spacing w:after="158"/>
        <w:ind w:left="4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 xml:space="preserve"> </w:t>
      </w:r>
    </w:p>
    <w:p w14:paraId="5F12F2EE" w14:textId="77777777" w:rsidR="009E0FCB" w:rsidRPr="00710223" w:rsidRDefault="007A708B">
      <w:pPr>
        <w:spacing w:after="159"/>
        <w:ind w:left="4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08D2D889" w14:textId="3FED140E" w:rsidR="00BF1C26" w:rsidRPr="0052696D" w:rsidRDefault="00EE037C">
      <w:pPr>
        <w:spacing w:after="0" w:line="338" w:lineRule="auto"/>
        <w:ind w:left="884" w:right="44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EVIDENCE BASED MEDICINE</w:t>
      </w:r>
    </w:p>
    <w:p w14:paraId="74FE83BA" w14:textId="1BC9AB28" w:rsidR="009E0FCB" w:rsidRPr="0052696D" w:rsidRDefault="007A708B">
      <w:pPr>
        <w:spacing w:after="0" w:line="338" w:lineRule="auto"/>
        <w:ind w:left="884" w:right="4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B3C29" w:rsidRPr="0052696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52696D"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 w:rsidR="003B3C29" w:rsidRPr="0052696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53EF3F47" w14:textId="77777777" w:rsidR="007A708B" w:rsidRPr="00710223" w:rsidRDefault="007A708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8254D10" w14:textId="1022A44D" w:rsidR="009E0FCB" w:rsidRPr="00710223" w:rsidRDefault="007A708B" w:rsidP="007A708B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1A0A2519" w14:textId="54443F90" w:rsidR="009E0FCB" w:rsidRPr="0015278C" w:rsidRDefault="00EE037C">
      <w:pPr>
        <w:spacing w:after="85"/>
        <w:ind w:left="35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27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EVIDENCE BASED MEDICINE</w:t>
      </w:r>
    </w:p>
    <w:p w14:paraId="123DF219" w14:textId="46C4FF55" w:rsidR="009E0FCB" w:rsidRPr="0052696D" w:rsidRDefault="00EE037C" w:rsidP="00841977">
      <w:pPr>
        <w:pStyle w:val="Balk1"/>
        <w:rPr>
          <w:rFonts w:ascii="Times New Roman" w:hAnsi="Times New Roman" w:cs="Times New Roman"/>
          <w:sz w:val="24"/>
          <w:szCs w:val="24"/>
          <w:lang w:val="en-US"/>
        </w:rPr>
      </w:pPr>
      <w:r w:rsidRPr="0052696D">
        <w:rPr>
          <w:rFonts w:ascii="Times New Roman" w:hAnsi="Times New Roman" w:cs="Times New Roman"/>
          <w:sz w:val="24"/>
          <w:szCs w:val="24"/>
          <w:u w:color="000000"/>
          <w:lang w:val="en-US"/>
        </w:rPr>
        <w:t>C</w:t>
      </w:r>
      <w:r w:rsidR="0006246F" w:rsidRPr="0052696D">
        <w:rPr>
          <w:rFonts w:ascii="Times New Roman" w:hAnsi="Times New Roman" w:cs="Times New Roman"/>
          <w:sz w:val="24"/>
          <w:szCs w:val="24"/>
          <w:u w:color="000000"/>
          <w:lang w:val="en-US"/>
        </w:rPr>
        <w:t>LERKSHIP</w:t>
      </w:r>
      <w:r w:rsidRPr="0052696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="00710223" w:rsidRPr="0052696D">
        <w:rPr>
          <w:rFonts w:ascii="Times New Roman" w:hAnsi="Times New Roman" w:cs="Times New Roman"/>
          <w:sz w:val="24"/>
          <w:szCs w:val="24"/>
          <w:u w:color="000000"/>
          <w:lang w:val="en-US"/>
        </w:rPr>
        <w:t>DESCRIPTION</w:t>
      </w:r>
    </w:p>
    <w:p w14:paraId="6D7D5D88" w14:textId="77777777" w:rsidR="009E0FCB" w:rsidRPr="00710223" w:rsidRDefault="007A70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tbl>
      <w:tblPr>
        <w:tblStyle w:val="TableGrid"/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9"/>
      </w:tblGrid>
      <w:tr w:rsidR="00B05D5D" w:rsidRPr="00710223" w14:paraId="12AFB4FA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7D7A09F0" w14:textId="26AB2EC2" w:rsidR="00B05D5D" w:rsidRPr="00710223" w:rsidRDefault="00B05D5D" w:rsidP="00B05D5D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5278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Education Period</w:t>
            </w:r>
          </w:p>
        </w:tc>
        <w:tc>
          <w:tcPr>
            <w:tcW w:w="6659" w:type="dxa"/>
            <w:vAlign w:val="center"/>
          </w:tcPr>
          <w:p w14:paraId="4DDC2CCE" w14:textId="5E94CCC8" w:rsidR="00B05D5D" w:rsidRPr="00710223" w:rsidRDefault="005F553C" w:rsidP="00B05D5D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 </w:t>
            </w:r>
            <w:r w:rsidR="00B05D5D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D5D" w:rsidRPr="00710223" w14:paraId="0C8B2BDE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79BEA200" w14:textId="3D54E1AA" w:rsidR="00B05D5D" w:rsidRPr="00710223" w:rsidRDefault="00B05D5D" w:rsidP="00B05D5D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5278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Clerkship Duration</w:t>
            </w:r>
          </w:p>
        </w:tc>
        <w:tc>
          <w:tcPr>
            <w:tcW w:w="6659" w:type="dxa"/>
            <w:vAlign w:val="center"/>
          </w:tcPr>
          <w:p w14:paraId="2159C945" w14:textId="5FE55DBE" w:rsidR="00B05D5D" w:rsidRPr="00710223" w:rsidRDefault="00B05D5D" w:rsidP="00B05D5D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weeks</w:t>
            </w:r>
          </w:p>
        </w:tc>
      </w:tr>
      <w:tr w:rsidR="00B05D5D" w:rsidRPr="00710223" w14:paraId="6B488DF5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521EA848" w14:textId="59152FE6" w:rsidR="00B05D5D" w:rsidRPr="00710223" w:rsidRDefault="00B05D5D" w:rsidP="00B05D5D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5278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Training Place</w:t>
            </w:r>
          </w:p>
        </w:tc>
        <w:tc>
          <w:tcPr>
            <w:tcW w:w="6659" w:type="dxa"/>
            <w:vAlign w:val="center"/>
          </w:tcPr>
          <w:p w14:paraId="7D2ABAAE" w14:textId="1D3F63B7" w:rsidR="00B05D5D" w:rsidRPr="00710223" w:rsidRDefault="00B05D5D" w:rsidP="00B05D5D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Istanbul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Medipol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Kavacık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South Campus</w:t>
            </w:r>
          </w:p>
        </w:tc>
      </w:tr>
      <w:tr w:rsidR="00B05D5D" w:rsidRPr="00710223" w14:paraId="2F71BC6F" w14:textId="77777777" w:rsidTr="0038788D">
        <w:trPr>
          <w:trHeight w:val="1820"/>
        </w:trPr>
        <w:tc>
          <w:tcPr>
            <w:tcW w:w="2403" w:type="dxa"/>
            <w:shd w:val="clear" w:color="auto" w:fill="002060"/>
            <w:vAlign w:val="center"/>
          </w:tcPr>
          <w:p w14:paraId="597AEDCF" w14:textId="2AAF6572" w:rsidR="00B05D5D" w:rsidRPr="00710223" w:rsidRDefault="00B05D5D" w:rsidP="00B05D5D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5278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Instructors</w:t>
            </w:r>
          </w:p>
        </w:tc>
        <w:tc>
          <w:tcPr>
            <w:tcW w:w="6659" w:type="dxa"/>
            <w:vAlign w:val="center"/>
          </w:tcPr>
          <w:p w14:paraId="5C01F723" w14:textId="0594D70C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Osman HAYRAN</w:t>
            </w:r>
          </w:p>
          <w:p w14:paraId="0DAC43F0" w14:textId="3A0A9CC9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Mehmet KOÇAK</w:t>
            </w:r>
          </w:p>
          <w:p w14:paraId="448A82E3" w14:textId="77777777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Abdulbari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BENER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8046F5" w14:textId="0A178D0B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Hüseyin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KÜÇÜKALİ</w:t>
            </w:r>
          </w:p>
          <w:p w14:paraId="74D03130" w14:textId="77777777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Ömer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ATAÇ</w:t>
            </w:r>
          </w:p>
          <w:p w14:paraId="305B4069" w14:textId="76F85BEF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Perihan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TORUN</w:t>
            </w:r>
          </w:p>
          <w:p w14:paraId="6CA9215C" w14:textId="3F7C26D4" w:rsidR="00B05D5D" w:rsidRPr="00710223" w:rsidRDefault="00B05D5D" w:rsidP="00B05D5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Teach. Asst. Ayşe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Seval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PALTEKİ</w:t>
            </w:r>
          </w:p>
        </w:tc>
      </w:tr>
      <w:tr w:rsidR="009E0FCB" w:rsidRPr="00710223" w14:paraId="0A2EEB0B" w14:textId="77777777" w:rsidTr="0038788D">
        <w:trPr>
          <w:trHeight w:val="462"/>
        </w:trPr>
        <w:tc>
          <w:tcPr>
            <w:tcW w:w="2403" w:type="dxa"/>
            <w:shd w:val="clear" w:color="auto" w:fill="002060"/>
            <w:vAlign w:val="center"/>
          </w:tcPr>
          <w:p w14:paraId="3956CB76" w14:textId="1D092C8C" w:rsidR="009E0FCB" w:rsidRPr="00710223" w:rsidRDefault="00710223" w:rsidP="00BF1C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The Head Instructor</w:t>
            </w:r>
          </w:p>
        </w:tc>
        <w:tc>
          <w:tcPr>
            <w:tcW w:w="6659" w:type="dxa"/>
            <w:vAlign w:val="center"/>
          </w:tcPr>
          <w:p w14:paraId="51C83F3D" w14:textId="55202F3C" w:rsidR="009E0FCB" w:rsidRPr="00710223" w:rsidRDefault="003F2D7D" w:rsidP="003F2D7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Teach. Asst. Ayşe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Seval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PALTEKİ</w:t>
            </w:r>
          </w:p>
        </w:tc>
      </w:tr>
    </w:tbl>
    <w:p w14:paraId="44FBBD58" w14:textId="77777777" w:rsidR="009E0FCB" w:rsidRPr="00710223" w:rsidRDefault="007A70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089BA33A" w14:textId="3961B91E" w:rsidR="009E0FCB" w:rsidRPr="0052696D" w:rsidRDefault="0020255C" w:rsidP="00841977">
      <w:pPr>
        <w:pStyle w:val="Balk1"/>
        <w:rPr>
          <w:rFonts w:ascii="Times New Roman" w:hAnsi="Times New Roman" w:cs="Times New Roman"/>
          <w:sz w:val="24"/>
          <w:szCs w:val="24"/>
          <w:lang w:val="en-US"/>
        </w:rPr>
      </w:pPr>
      <w:r w:rsidRPr="0052696D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="00925A98" w:rsidRPr="0052696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6551BB24" w14:textId="1D80AF89" w:rsidR="009E0FCB" w:rsidRPr="00710223" w:rsidRDefault="003F2D7D" w:rsidP="005D71C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The p</w:t>
      </w:r>
      <w:r w:rsidR="0020255C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urpose of Evidence-Based Medicine </w:t>
      </w:r>
      <w:r w:rsidR="0020255C" w:rsidRPr="0015278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6246F" w:rsidRPr="0015278C">
        <w:rPr>
          <w:rFonts w:ascii="Times New Roman" w:hAnsi="Times New Roman" w:cs="Times New Roman"/>
          <w:sz w:val="20"/>
          <w:szCs w:val="20"/>
          <w:lang w:val="en-US"/>
        </w:rPr>
        <w:t>lerkship</w:t>
      </w:r>
      <w:r w:rsidR="0020255C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is to make students comprehend the importance of using the most valid scientific evidence in line with personal clinical experience and patient values and expectations during medical practice; to teach the ways to access recent and up-to-date evidence required for evidence-based practices, and the methods of producing evidence when necessary.</w:t>
      </w:r>
    </w:p>
    <w:p w14:paraId="570A0B3E" w14:textId="77777777" w:rsidR="0038788D" w:rsidRPr="00710223" w:rsidRDefault="0038788D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</w:p>
    <w:p w14:paraId="716C2619" w14:textId="68A01262" w:rsidR="009E0FCB" w:rsidRPr="0052696D" w:rsidRDefault="0020255C" w:rsidP="00841977">
      <w:pPr>
        <w:pStyle w:val="Balk1"/>
        <w:rPr>
          <w:rFonts w:ascii="Times New Roman" w:hAnsi="Times New Roman" w:cs="Times New Roman"/>
          <w:sz w:val="24"/>
          <w:szCs w:val="24"/>
          <w:lang w:val="en-US"/>
        </w:rPr>
      </w:pPr>
      <w:r w:rsidRPr="0052696D">
        <w:rPr>
          <w:rFonts w:ascii="Times New Roman" w:hAnsi="Times New Roman" w:cs="Times New Roman"/>
          <w:sz w:val="24"/>
          <w:szCs w:val="24"/>
          <w:lang w:val="en-US"/>
        </w:rPr>
        <w:t>METHODS</w:t>
      </w:r>
    </w:p>
    <w:p w14:paraId="2CA73975" w14:textId="6D19794A" w:rsidR="009E0FCB" w:rsidRPr="00710223" w:rsidRDefault="0020255C" w:rsidP="0084197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Theoretical Lectures (Online)</w:t>
      </w:r>
    </w:p>
    <w:p w14:paraId="1CC5B519" w14:textId="0DC83AAE" w:rsidR="00333052" w:rsidRPr="00710223" w:rsidRDefault="0020255C" w:rsidP="0084197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Practice</w:t>
      </w:r>
      <w:r w:rsidR="00333052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10223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333052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10223">
        <w:rPr>
          <w:rFonts w:ascii="Times New Roman" w:hAnsi="Times New Roman" w:cs="Times New Roman"/>
          <w:sz w:val="20"/>
          <w:szCs w:val="20"/>
          <w:lang w:val="en-US"/>
        </w:rPr>
        <w:t>Group work</w:t>
      </w:r>
    </w:p>
    <w:p w14:paraId="71207758" w14:textId="083746EA" w:rsidR="0038788D" w:rsidRPr="00710223" w:rsidRDefault="0020255C" w:rsidP="0084197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Oral Exam</w:t>
      </w:r>
      <w:r w:rsidR="00333052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10223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333052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10223">
        <w:rPr>
          <w:rFonts w:ascii="Times New Roman" w:hAnsi="Times New Roman" w:cs="Times New Roman"/>
          <w:sz w:val="20"/>
          <w:szCs w:val="20"/>
          <w:lang w:val="en-US"/>
        </w:rPr>
        <w:t>Presentation and interpretation of an article</w:t>
      </w:r>
    </w:p>
    <w:p w14:paraId="6B0C3D59" w14:textId="77777777" w:rsidR="0038788D" w:rsidRPr="00710223" w:rsidRDefault="0038788D" w:rsidP="0038788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7AAF57" w14:textId="172DAD62" w:rsidR="0038788D" w:rsidRPr="00710223" w:rsidRDefault="0038788D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06FF3244" w14:textId="5B012F11" w:rsidR="0038788D" w:rsidRPr="00710223" w:rsidRDefault="0020255C" w:rsidP="00841977">
      <w:pPr>
        <w:pStyle w:val="Balk1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lastRenderedPageBreak/>
        <w:t>LECTURES</w:t>
      </w:r>
    </w:p>
    <w:tbl>
      <w:tblPr>
        <w:tblStyle w:val="TableGrid"/>
        <w:tblW w:w="4959" w:type="pct"/>
        <w:tblInd w:w="1" w:type="dxa"/>
        <w:tblCellMar>
          <w:top w:w="5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760"/>
        <w:gridCol w:w="5204"/>
        <w:gridCol w:w="1024"/>
      </w:tblGrid>
      <w:tr w:rsidR="007A708B" w:rsidRPr="00710223" w14:paraId="49A92FAC" w14:textId="77777777" w:rsidTr="0020255C">
        <w:trPr>
          <w:trHeight w:val="88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737FC80" w14:textId="726BC6BD" w:rsidR="0038788D" w:rsidRPr="00710223" w:rsidRDefault="0020255C" w:rsidP="00720741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9DE6AE8" w14:textId="00D9764A" w:rsidR="0038788D" w:rsidRPr="00710223" w:rsidRDefault="0020255C" w:rsidP="0072074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D69C87" w14:textId="7BD4DACC" w:rsidR="00720741" w:rsidRPr="00710223" w:rsidRDefault="0020255C" w:rsidP="00720741">
            <w:pPr>
              <w:ind w:right="5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Duration</w:t>
            </w:r>
          </w:p>
          <w:p w14:paraId="2345D92C" w14:textId="769E8353" w:rsidR="00720741" w:rsidRPr="00710223" w:rsidRDefault="00720741" w:rsidP="00720741">
            <w:pPr>
              <w:ind w:right="5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(T/</w:t>
            </w:r>
            <w:r w:rsidR="0020255C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</w:t>
            </w: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</w:tr>
      <w:tr w:rsidR="0020255C" w:rsidRPr="00710223" w14:paraId="48313F56" w14:textId="77777777" w:rsidTr="0020255C">
        <w:trPr>
          <w:trHeight w:val="304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CA711" w14:textId="067C5649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90480657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Evidence-Based Medicine: Introduction and Basic Concepts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10F0" w14:textId="01081EC6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Define</w:t>
            </w:r>
            <w:r w:rsidR="00580BDD" w:rsidRPr="007102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Evidence-Based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C3B8" w14:textId="35473D84" w:rsidR="0020255C" w:rsidRPr="00710223" w:rsidRDefault="0020255C" w:rsidP="00202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20255C" w:rsidRPr="00710223" w14:paraId="17B72E2C" w14:textId="77777777" w:rsidTr="0020255C">
        <w:trPr>
          <w:trHeight w:val="596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7A9C0" w14:textId="77777777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E69E" w14:textId="1B820DCB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1A41" w14:textId="77777777" w:rsidR="0020255C" w:rsidRPr="00710223" w:rsidRDefault="0020255C" w:rsidP="00202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255C" w:rsidRPr="00710223" w14:paraId="0AA3C1AE" w14:textId="77777777" w:rsidTr="0020255C">
        <w:trPr>
          <w:trHeight w:val="302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4A3A8" w14:textId="77777777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31BC" w14:textId="5D6EA666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A1394" w:rsidRPr="0071022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="004A1394"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1394" w:rsidRPr="00710223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="004A1394"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1394" w:rsidRPr="0071022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BAA2" w14:textId="77777777" w:rsidR="0020255C" w:rsidRPr="00710223" w:rsidRDefault="0020255C" w:rsidP="00202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255C" w:rsidRPr="00710223" w14:paraId="3830064C" w14:textId="77777777" w:rsidTr="0020255C">
        <w:trPr>
          <w:trHeight w:val="302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DD32" w14:textId="77777777" w:rsidR="0020255C" w:rsidRPr="00710223" w:rsidRDefault="0020255C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9B16" w14:textId="09AA010C" w:rsidR="0020255C" w:rsidRPr="0015278C" w:rsidRDefault="00994A6B" w:rsidP="00202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Follows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up-to-date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literat</w:t>
            </w:r>
            <w:r w:rsidR="00203DF8" w:rsidRPr="0015278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="00203DF8"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>practicing</w:t>
            </w:r>
            <w:proofErr w:type="spellEnd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="0020255C" w:rsidRPr="00152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5F42" w14:textId="77777777" w:rsidR="0020255C" w:rsidRPr="00710223" w:rsidRDefault="0020255C" w:rsidP="00202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1B13EFD4" w14:textId="77777777" w:rsidTr="0020255C">
        <w:trPr>
          <w:trHeight w:val="302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33966" w14:textId="3E48FA73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Evidence Hierarchy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D041" w14:textId="4EEB8C62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Sorts different types of studies by the value of the evidence they provide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0B0D" w14:textId="640CD2B5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7A708B" w:rsidRPr="00710223" w14:paraId="0E150C66" w14:textId="77777777" w:rsidTr="0020255C">
        <w:trPr>
          <w:trHeight w:val="302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B98F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796B" w14:textId="6E480B56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Compares the advantages and disadvantages of different types of research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C8E0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1D393D7D" w14:textId="77777777" w:rsidTr="0020255C">
        <w:trPr>
          <w:trHeight w:val="302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F984" w14:textId="05892057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Evidence Production: Observational Studies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2B3F" w14:textId="5983B3DF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Counts the types of observational studies used to produce evidence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F81D" w14:textId="090FCA92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10F5F39C" w14:textId="77777777" w:rsidTr="0020255C">
        <w:trPr>
          <w:trHeight w:val="302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ACCB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AD0E" w14:textId="678E0AEB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 an observational study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CC9A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42C92593" w14:textId="77777777" w:rsidTr="0020255C">
        <w:trPr>
          <w:trHeight w:val="304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5BF9" w14:textId="476A1319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Evidence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: Experimental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310F" w14:textId="709FC49B" w:rsidR="007A708B" w:rsidRPr="00710223" w:rsidRDefault="00137D81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</w:t>
            </w:r>
            <w:r w:rsidR="004A1394"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types of experimental research used to produce evidence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B883" w14:textId="3DDAFFCE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437FCFAD" w14:textId="77777777" w:rsidTr="0020255C">
        <w:trPr>
          <w:trHeight w:val="30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43C8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1F28" w14:textId="57EACB4F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Plans an experimental study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10A7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65820089" w14:textId="77777777" w:rsidTr="0020255C">
        <w:trPr>
          <w:trHeight w:val="303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072D" w14:textId="49FFECFC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Accessing the Evidence: Using Evidence-Based Medic</w:t>
            </w:r>
            <w:r w:rsidR="00580BDD"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 Databases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0F56" w14:textId="24EC0937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Accesses and uses international evidence-based medical databases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C61" w14:textId="1594679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1B7D8F01" w14:textId="77777777" w:rsidTr="0020255C">
        <w:trPr>
          <w:trHeight w:val="302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65CE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681B" w14:textId="1F3800B4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Finds the most up-to-date evidence needed during medical practice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863C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1CFC26E6" w14:textId="77777777" w:rsidTr="0020255C">
        <w:trPr>
          <w:trHeight w:val="304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DFB9" w14:textId="33CE1533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Accessing the Evidence: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Reviews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8530" w14:textId="69BAD08A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logic of the systematic review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5921" w14:textId="7956D8F4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38C48CAA" w14:textId="77777777" w:rsidTr="0020255C">
        <w:trPr>
          <w:trHeight w:val="30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0C37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5879" w14:textId="605B3C94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Interprets systematic review articles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E02A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2F66FF61" w14:textId="77777777" w:rsidTr="0020255C">
        <w:trPr>
          <w:trHeight w:val="301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34B1" w14:textId="4183A086" w:rsidR="007A708B" w:rsidRPr="00710223" w:rsidRDefault="004A1394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Accessing the Evidence: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4976" w14:textId="5310F61F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8F6350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logic of</w:t>
            </w:r>
            <w:r w:rsidR="008F6350"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meta-analysis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0192" w14:textId="13CE0553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5B473ABA" w14:textId="77777777" w:rsidTr="0020255C">
        <w:trPr>
          <w:trHeight w:val="30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EEB4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274B" w14:textId="4A553686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Interprets </w:t>
            </w:r>
            <w:r w:rsidR="00087C69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articles</w:t>
            </w:r>
            <w:r w:rsidR="00DB7F5B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studies</w:t>
            </w:r>
            <w:r w:rsidR="00087C69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0B404B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conducted as 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meta-analysis</w:t>
            </w:r>
            <w:r w:rsidR="007A708B"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8B0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2796190A" w14:textId="77777777" w:rsidTr="00750407">
        <w:trPr>
          <w:trHeight w:val="34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D5E6" w14:textId="72EFC2E5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Using Evidence: Evaluating the Risk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AB7" w14:textId="3DDDCAD7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 measures related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to health and disease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B003" w14:textId="61AEFE38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A9694E" w:rsidRPr="00710223" w14:paraId="624CD540" w14:textId="77777777" w:rsidTr="0020255C">
        <w:trPr>
          <w:trHeight w:val="304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B6614" w14:textId="77777777" w:rsidR="00A9694E" w:rsidRPr="00710223" w:rsidRDefault="00A9694E" w:rsidP="00A969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F81E" w14:textId="00BB6C88" w:rsidR="00A9694E" w:rsidRPr="00710223" w:rsidRDefault="00A9694E" w:rsidP="00A969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Interprets 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measures related to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health and disease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64B20" w14:textId="77777777" w:rsidR="00A9694E" w:rsidRPr="00710223" w:rsidRDefault="00A9694E" w:rsidP="00A96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23437724" w14:textId="77777777" w:rsidTr="0020255C">
        <w:trPr>
          <w:trHeight w:val="301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7103" w14:textId="11A0E7EA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65FF" w14:textId="2BAE501A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Performs common risk calculations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9C4F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01DBECF3" w14:textId="77777777" w:rsidTr="0020255C">
        <w:trPr>
          <w:trHeight w:val="301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DF528" w14:textId="43D824DB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Using Evidence: Evaluating Sensitivity, Specificity, Predictive Value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181" w14:textId="4C4DD407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 sensitivity, specificity, and predictive value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10C4" w14:textId="115B859C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A9694E" w:rsidRPr="00710223" w14:paraId="2954FA79" w14:textId="77777777" w:rsidTr="0020255C">
        <w:trPr>
          <w:trHeight w:val="304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DCD2A" w14:textId="77777777" w:rsidR="00A9694E" w:rsidRPr="00710223" w:rsidRDefault="00A9694E" w:rsidP="00A969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A884" w14:textId="35F4B21F" w:rsidR="00A9694E" w:rsidRPr="00710223" w:rsidRDefault="00A9694E" w:rsidP="00A969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Interprets sensitivity, specificity, and predictive value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9BDA" w14:textId="77777777" w:rsidR="00A9694E" w:rsidRPr="00710223" w:rsidRDefault="00A9694E" w:rsidP="00A96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2B7E4DEB" w14:textId="77777777" w:rsidTr="0020255C">
        <w:trPr>
          <w:trHeight w:val="304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9FEC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D7E2" w14:textId="2226E057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Calculates the accuracy values of diagnostic tests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C6F4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68A4F057" w14:textId="77777777" w:rsidTr="0020255C">
        <w:trPr>
          <w:trHeight w:val="304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DEDA" w14:textId="7A33588F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Using Evidence: Validity, Reliability</w:t>
            </w:r>
            <w:r w:rsidR="00580BDD"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Errors in Research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1FCC" w14:textId="60B33E49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Critically appraises research methods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9D58" w14:textId="7F216E49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A708B" w:rsidRPr="00710223" w14:paraId="3A06F4F5" w14:textId="77777777" w:rsidTr="0020255C">
        <w:trPr>
          <w:trHeight w:val="30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51C5D" w14:textId="77777777" w:rsidR="007A708B" w:rsidRPr="00710223" w:rsidRDefault="007A708B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DDEB2" w14:textId="309552B6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Identifies errors in the studies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5345F" w14:textId="77777777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08B" w:rsidRPr="00710223" w14:paraId="59C4559B" w14:textId="77777777" w:rsidTr="0020255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29AE" w14:textId="0C730B72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Article Presentation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76A" w14:textId="3A46213E" w:rsidR="007A708B" w:rsidRPr="00710223" w:rsidRDefault="00A9694E" w:rsidP="007A7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Explains the meaning of the scientific terms in medical studies</w:t>
            </w:r>
            <w:r w:rsidR="007A708B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E0C3" w14:textId="02DB7EB1" w:rsidR="007A708B" w:rsidRPr="00710223" w:rsidRDefault="007A708B" w:rsidP="007A7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</w:t>
            </w:r>
          </w:p>
        </w:tc>
      </w:tr>
      <w:bookmarkEnd w:id="0"/>
    </w:tbl>
    <w:p w14:paraId="5C15010F" w14:textId="77777777" w:rsidR="0038788D" w:rsidRPr="00710223" w:rsidRDefault="0038788D" w:rsidP="0038788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CD68FEA" w14:textId="6957C66A" w:rsidR="0038788D" w:rsidRPr="00710223" w:rsidRDefault="00A9694E" w:rsidP="00841977">
      <w:pPr>
        <w:pStyle w:val="Balk1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SUCCESS CRITERIA</w:t>
      </w:r>
    </w:p>
    <w:tbl>
      <w:tblPr>
        <w:tblStyle w:val="TableGrid"/>
        <w:tblW w:w="5000" w:type="pct"/>
        <w:tblInd w:w="6" w:type="dxa"/>
        <w:tblCellMar>
          <w:top w:w="13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38788D" w:rsidRPr="00710223" w14:paraId="21B88065" w14:textId="77777777" w:rsidTr="00BF1C26">
        <w:trPr>
          <w:trHeight w:val="46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E5BDA53" w14:textId="10BE09ED" w:rsidR="0038788D" w:rsidRPr="00710223" w:rsidRDefault="00580BDD" w:rsidP="008419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Exam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4D38595" w14:textId="08C04D04" w:rsidR="0038788D" w:rsidRPr="00710223" w:rsidRDefault="00580BDD" w:rsidP="00841977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Percentage</w:t>
            </w:r>
          </w:p>
        </w:tc>
      </w:tr>
      <w:tr w:rsidR="0038788D" w:rsidRPr="00710223" w14:paraId="270B6A4C" w14:textId="77777777" w:rsidTr="00BF1C26">
        <w:trPr>
          <w:trHeight w:val="46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5F4F" w14:textId="686E8510" w:rsidR="0038788D" w:rsidRPr="00710223" w:rsidRDefault="00A9694E" w:rsidP="00A969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 – Presentation and interpretation of an article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3184" w14:textId="2FA55ED3" w:rsidR="0038788D" w:rsidRPr="00710223" w:rsidRDefault="0038788D" w:rsidP="008419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B2375F"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14:paraId="7BF9BB2D" w14:textId="175871BF" w:rsidR="0038788D" w:rsidRPr="00710223" w:rsidRDefault="0038788D" w:rsidP="0038788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71058D2" w14:textId="77777777" w:rsidR="007A708B" w:rsidRPr="00710223" w:rsidRDefault="007A708B" w:rsidP="0038788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0920093" w14:textId="11702BAA" w:rsidR="00137D81" w:rsidRPr="00710223" w:rsidRDefault="00137D81" w:rsidP="00A126F7">
      <w:pPr>
        <w:pStyle w:val="Balk1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"/>
        </w:rPr>
        <w:t>RECOMMENDED RESOURCES</w:t>
      </w:r>
    </w:p>
    <w:p w14:paraId="0CB7305C" w14:textId="1B25F16B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Cochrane Collaboration. Cochrane Library, 2021. </w:t>
      </w:r>
      <w:hyperlink r:id="rId12" w:history="1">
        <w:r w:rsidR="004D0AA7" w:rsidRPr="00710223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http://www.cochranelibrary.com</w:t>
        </w:r>
      </w:hyperlink>
      <w:r w:rsidR="004D0AA7"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AC6FE21" w14:textId="77777777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Hayran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O,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Özbek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H.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Sağık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Bilimlerinde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Araştırma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İstatistik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Yöntemler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(SPSS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Uygulama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Örnekleri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ile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Genişletilmiş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2.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Baskı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) Nobel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Tıp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Kitabevleri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>, İstanbul, 2017</w:t>
      </w:r>
    </w:p>
    <w:p w14:paraId="6F10277B" w14:textId="77777777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Straus SE, </w:t>
      </w: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Glasziou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P, Richardson WS, Haynes RB. Evidence-Based Medicine: How to Practice and Teach EBM. 5th ed., 2018.</w:t>
      </w:r>
    </w:p>
    <w:p w14:paraId="59C77E50" w14:textId="77777777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>Goodman MS. Biostatistics for Clinical and Public Health Research. Routledge, New York, 2017.</w:t>
      </w:r>
    </w:p>
    <w:p w14:paraId="55459ACD" w14:textId="77777777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Bruce N. Quantitative Methods for Health Research: a practical interactive guide to epidemiology and statistics. Second ed., </w:t>
      </w:r>
      <w:proofErr w:type="spellStart"/>
      <w:proofErr w:type="gramStart"/>
      <w:r w:rsidRPr="00710223">
        <w:rPr>
          <w:rFonts w:ascii="Times New Roman" w:hAnsi="Times New Roman" w:cs="Times New Roman"/>
          <w:sz w:val="20"/>
          <w:szCs w:val="20"/>
          <w:lang w:val="en-US"/>
        </w:rPr>
        <w:t>NJ:Wiley</w:t>
      </w:r>
      <w:proofErr w:type="spellEnd"/>
      <w:proofErr w:type="gramEnd"/>
      <w:r w:rsidRPr="00710223">
        <w:rPr>
          <w:rFonts w:ascii="Times New Roman" w:hAnsi="Times New Roman" w:cs="Times New Roman"/>
          <w:sz w:val="20"/>
          <w:szCs w:val="20"/>
          <w:lang w:val="en-US"/>
        </w:rPr>
        <w:t>, 2018.</w:t>
      </w:r>
    </w:p>
    <w:p w14:paraId="6A509F35" w14:textId="1999F41C" w:rsidR="00F17256" w:rsidRPr="00710223" w:rsidRDefault="00F17256" w:rsidP="00F1725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10223">
        <w:rPr>
          <w:rFonts w:ascii="Times New Roman" w:hAnsi="Times New Roman" w:cs="Times New Roman"/>
          <w:sz w:val="20"/>
          <w:szCs w:val="20"/>
          <w:lang w:val="en-US"/>
        </w:rPr>
        <w:t>Greenhal</w:t>
      </w:r>
      <w:r w:rsidR="008818F6" w:rsidRPr="00710223">
        <w:rPr>
          <w:rFonts w:ascii="Times New Roman" w:hAnsi="Times New Roman" w:cs="Times New Roman"/>
          <w:sz w:val="20"/>
          <w:szCs w:val="20"/>
          <w:lang w:val="en-US"/>
        </w:rPr>
        <w:t>MS</w:t>
      </w:r>
      <w:proofErr w:type="spellEnd"/>
      <w:r w:rsidRPr="00710223">
        <w:rPr>
          <w:rFonts w:ascii="Times New Roman" w:hAnsi="Times New Roman" w:cs="Times New Roman"/>
          <w:sz w:val="20"/>
          <w:szCs w:val="20"/>
          <w:lang w:val="en-US"/>
        </w:rPr>
        <w:t xml:space="preserve"> T. How to read a paper: the basics of evidence-based medicine. Wiley, 2014.</w:t>
      </w:r>
    </w:p>
    <w:p w14:paraId="4E6154CE" w14:textId="77777777" w:rsidR="0038788D" w:rsidRPr="00710223" w:rsidRDefault="0038788D" w:rsidP="0038788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01327CF" w14:textId="77777777" w:rsidR="0038788D" w:rsidRPr="00710223" w:rsidRDefault="0038788D" w:rsidP="0038788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CB61DA9" w14:textId="44A59A09" w:rsidR="0038788D" w:rsidRPr="00710223" w:rsidRDefault="0038788D" w:rsidP="0038788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  <w:sectPr w:rsidR="0038788D" w:rsidRPr="00710223" w:rsidSect="007A70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7FDDA435" w14:textId="088C9C9B" w:rsidR="00137D81" w:rsidRPr="00710223" w:rsidRDefault="00135283" w:rsidP="00871B7B">
      <w:pPr>
        <w:pStyle w:val="Balk1"/>
        <w:ind w:left="-5"/>
        <w:rPr>
          <w:rFonts w:ascii="Times New Roman" w:hAnsi="Times New Roman" w:cs="Times New Roman"/>
          <w:sz w:val="20"/>
          <w:szCs w:val="20"/>
          <w:lang w:val="en-US"/>
        </w:rPr>
      </w:pPr>
      <w:r w:rsidRPr="00710223">
        <w:rPr>
          <w:rFonts w:ascii="Times New Roman" w:hAnsi="Times New Roman" w:cs="Times New Roman"/>
          <w:sz w:val="20"/>
          <w:szCs w:val="20"/>
          <w:lang w:val="en"/>
        </w:rPr>
        <w:lastRenderedPageBreak/>
        <w:t>PROGRAM QUALIFICATIONS AND KEY ROLES IN RELATION WITH LEARNING OBJECTIVES</w:t>
      </w:r>
    </w:p>
    <w:p w14:paraId="29EFF50F" w14:textId="024DDB2B" w:rsidR="009E0FCB" w:rsidRPr="00710223" w:rsidRDefault="009E0FCB" w:rsidP="007A708B">
      <w:pPr>
        <w:pStyle w:val="Balk1"/>
        <w:ind w:left="-5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3992" w:type="dxa"/>
        <w:tblInd w:w="6" w:type="dxa"/>
        <w:tblCellMar>
          <w:top w:w="4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6799"/>
        <w:gridCol w:w="2268"/>
        <w:gridCol w:w="1843"/>
        <w:gridCol w:w="3082"/>
      </w:tblGrid>
      <w:tr w:rsidR="009E0FCB" w:rsidRPr="00710223" w14:paraId="33189300" w14:textId="77777777" w:rsidTr="0038788D">
        <w:trPr>
          <w:trHeight w:val="739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2060"/>
            <w:vAlign w:val="center"/>
          </w:tcPr>
          <w:p w14:paraId="75990C80" w14:textId="5E7CB1E5" w:rsidR="009E0FCB" w:rsidRPr="00710223" w:rsidRDefault="00137D81" w:rsidP="0038788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OBJECTIVE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2060"/>
            <w:vAlign w:val="center"/>
          </w:tcPr>
          <w:p w14:paraId="0B81725B" w14:textId="4A03AC6B" w:rsidR="009E0FCB" w:rsidRPr="00710223" w:rsidRDefault="00137D81" w:rsidP="0038788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PROGRAM QUALIFICATIONS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002060"/>
            <w:vAlign w:val="center"/>
          </w:tcPr>
          <w:p w14:paraId="000CB73F" w14:textId="4EF25226" w:rsidR="009E0FCB" w:rsidRPr="00710223" w:rsidRDefault="00137D81" w:rsidP="0038788D">
            <w:pPr>
              <w:ind w:left="327" w:right="2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KEY ROLES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2060"/>
            <w:vAlign w:val="center"/>
          </w:tcPr>
          <w:p w14:paraId="02DEA97B" w14:textId="699A81D3" w:rsidR="009E0FCB" w:rsidRPr="00710223" w:rsidRDefault="00137D81" w:rsidP="0038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GENERAL </w:t>
            </w:r>
            <w:r w:rsidR="007F2186" w:rsidRPr="0015278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MEDICAL</w:t>
            </w:r>
            <w:r w:rsidRPr="0015278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SKILLS</w:t>
            </w:r>
          </w:p>
        </w:tc>
      </w:tr>
      <w:tr w:rsidR="009E0FCB" w:rsidRPr="00710223" w14:paraId="0DEE960A" w14:textId="77777777" w:rsidTr="0038788D">
        <w:trPr>
          <w:trHeight w:val="11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0CC3ACA" w14:textId="77777777" w:rsidR="009E0FCB" w:rsidRPr="00710223" w:rsidRDefault="009E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5F82C34" w14:textId="77777777" w:rsidR="009E0FCB" w:rsidRPr="00710223" w:rsidRDefault="009E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C4920B" w14:textId="7CBCA73D" w:rsidR="009E0FCB" w:rsidRPr="00710223" w:rsidRDefault="007A708B" w:rsidP="0038788D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R1-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Medical Doctor </w:t>
            </w:r>
          </w:p>
          <w:p w14:paraId="7C2390F3" w14:textId="5E58317C" w:rsidR="009E0FCB" w:rsidRPr="00710223" w:rsidRDefault="007A708B" w:rsidP="0038788D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Team member</w:t>
            </w: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14:paraId="5DD9B1B7" w14:textId="6C7AA2A5" w:rsidR="00137D81" w:rsidRPr="00710223" w:rsidRDefault="007A708B" w:rsidP="006E6257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Communicator </w:t>
            </w:r>
          </w:p>
          <w:p w14:paraId="647743C5" w14:textId="77777777" w:rsidR="00137D81" w:rsidRPr="00710223" w:rsidRDefault="007A708B" w:rsidP="00C110D7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Leader </w:t>
            </w:r>
          </w:p>
          <w:p w14:paraId="5F86264C" w14:textId="7C521986" w:rsidR="009E0FCB" w:rsidRPr="00710223" w:rsidRDefault="007A708B" w:rsidP="0038788D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Health Advocate </w:t>
            </w:r>
          </w:p>
          <w:p w14:paraId="38782633" w14:textId="77CC0A39" w:rsidR="009E0FCB" w:rsidRPr="00710223" w:rsidRDefault="007A708B" w:rsidP="0038788D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Scientist</w:t>
            </w: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14:paraId="745E3E47" w14:textId="6F15A41E" w:rsidR="009E0FCB" w:rsidRPr="00710223" w:rsidRDefault="007A708B" w:rsidP="0038788D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Professional</w:t>
            </w: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6AC2563" w14:textId="229A72DB" w:rsidR="009E0FCB" w:rsidRPr="00710223" w:rsidRDefault="008818F6" w:rsidP="0038788D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1-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Analytical and Critical Thinking </w:t>
            </w:r>
          </w:p>
          <w:p w14:paraId="04BB9DCD" w14:textId="7CC5B24C" w:rsidR="00137D81" w:rsidRPr="00710223" w:rsidRDefault="008818F6" w:rsidP="00860F0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2-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Clinical Inquiry-Reasoning </w:t>
            </w:r>
          </w:p>
          <w:p w14:paraId="73199CB6" w14:textId="4D342119" w:rsidR="00137D81" w:rsidRPr="00710223" w:rsidRDefault="008818F6" w:rsidP="00552653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Problem Solving </w:t>
            </w:r>
          </w:p>
          <w:p w14:paraId="0C00C160" w14:textId="233FCBCF" w:rsidR="00137D81" w:rsidRPr="00710223" w:rsidRDefault="008818F6" w:rsidP="0014245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4-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Accessing and Using Information </w:t>
            </w:r>
          </w:p>
          <w:p w14:paraId="17564BFF" w14:textId="35AF3298" w:rsidR="00137D81" w:rsidRPr="00710223" w:rsidRDefault="008818F6" w:rsidP="00BB7342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5-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Lifelong Learning </w:t>
            </w:r>
          </w:p>
          <w:p w14:paraId="290708F0" w14:textId="0B620704" w:rsidR="009E0FCB" w:rsidRPr="00710223" w:rsidRDefault="008818F6" w:rsidP="0038788D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7A708B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6-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137D81" w:rsidRPr="0071022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Communication and Teamwork </w:t>
            </w:r>
          </w:p>
        </w:tc>
      </w:tr>
      <w:tr w:rsidR="00137D81" w:rsidRPr="00710223" w14:paraId="0A74572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AF9D" w14:textId="102D165E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Defines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Evidence-Based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D36F" w14:textId="06A701DD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020B" w14:textId="77777777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4D18" w14:textId="70D8B399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2E811275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1014" w14:textId="562BC1D8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C08" w14:textId="7762E5E7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F4AA" w14:textId="159720D6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R3, R6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C47F" w14:textId="59376BD5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31386C2F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427" w14:textId="290BE29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6A6C" w14:textId="27B3C825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8D8D" w14:textId="73ECC9F9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54E" w14:textId="3F7A4B7A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5122A2D3" w14:textId="77777777" w:rsidTr="007F2186">
        <w:trPr>
          <w:trHeight w:val="7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82D1" w14:textId="16A39C43" w:rsidR="00137D81" w:rsidRPr="00710223" w:rsidRDefault="007F218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Follows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up-to-date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Pr="00152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D81" w:rsidRPr="0015278C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="00137D81"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D81" w:rsidRPr="00710223">
              <w:rPr>
                <w:rFonts w:ascii="Times New Roman" w:hAnsi="Times New Roman" w:cs="Times New Roman"/>
                <w:sz w:val="20"/>
                <w:szCs w:val="20"/>
              </w:rPr>
              <w:t>practicing</w:t>
            </w:r>
            <w:proofErr w:type="spellEnd"/>
            <w:r w:rsidR="00137D81"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D81" w:rsidRPr="00710223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="00137D81" w:rsidRPr="00710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3A4F" w14:textId="3DA9A162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ACE3" w14:textId="6CB58E40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3F2F" w14:textId="688674C6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07AB75D8" w14:textId="77777777" w:rsidTr="000D225E">
        <w:trPr>
          <w:trHeight w:val="3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41CD" w14:textId="24315B1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Sorts different types of studies by the value of the evidence they provide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10E4" w14:textId="4FF9A577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D63D" w14:textId="77777777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D314" w14:textId="17FDFD64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17D593D2" w14:textId="77777777" w:rsidTr="000D225E">
        <w:trPr>
          <w:trHeight w:val="3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8F32" w14:textId="0346F290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Compares the advantages and disadvantages of different types of research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60E" w14:textId="70CCB4E8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E85A" w14:textId="1CA7A597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8030" w14:textId="362BFB1C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35C2AC70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A5CB" w14:textId="0E982349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the types of observational studies used to produce evidence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5A07" w14:textId="6B5B991C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CFF" w14:textId="51827FFA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CCEF" w14:textId="2C617DD9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137D81" w:rsidRPr="00710223" w14:paraId="624F3F22" w14:textId="77777777" w:rsidTr="000D225E">
        <w:trPr>
          <w:trHeight w:val="3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26B3" w14:textId="58F25E0F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 an observational study.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449F" w14:textId="09CCE12F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45F4" w14:textId="61072781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R6,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7256" w14:textId="7573A9A5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137D81" w:rsidRPr="00710223" w14:paraId="2ED6746A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D8CA" w14:textId="1597049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Counts the types of experimental research used to produce evidence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8444" w14:textId="0A7D6D02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F819" w14:textId="4873E9E7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B74A" w14:textId="6DB4A451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137D81" w:rsidRPr="00710223" w14:paraId="33B8A4DB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71A9" w14:textId="0D023300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Plans an experimental study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3C7B" w14:textId="2015143F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1D98" w14:textId="3D8F03F1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AB5" w14:textId="06D23AB8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137D81" w:rsidRPr="00710223" w14:paraId="133B8793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DAF3" w14:textId="32D20176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Accesses and uses international evidence-based medical databases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9150" w14:textId="4458C5F4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FC7" w14:textId="657D008C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567B" w14:textId="3593371E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5B84DEE5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6CDC" w14:textId="2D06AE5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Finds the most up-to-date evidence needed during medical practice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1028" w14:textId="1FB94453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BF60" w14:textId="3EC2E0AB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8E7B" w14:textId="5E00C3C4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4E0D3D72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3BCE" w14:textId="4E2F4D7B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Describes the logic of the systematic review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2EDE" w14:textId="1C4C6444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D1C" w14:textId="2A2000B0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2236" w14:textId="05905E37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75E4AA61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0FFC" w14:textId="5C9D7E2D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Interprets systematic review articles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C44" w14:textId="544BAD76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5EC0" w14:textId="764A75C9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1,R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C19E" w14:textId="64266D29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965ECD" w:rsidRPr="00710223" w14:paraId="57E465C4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F8D3" w14:textId="670D8C8C" w:rsidR="00965ECD" w:rsidRPr="0015278C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logic of meta-analysis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9357" w14:textId="16B288C8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PQ5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3E88" w14:textId="50C551A0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BDA6" w14:textId="4FE5C150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MS4, MS5 </w:t>
            </w:r>
          </w:p>
        </w:tc>
      </w:tr>
      <w:tr w:rsidR="00965ECD" w:rsidRPr="00710223" w14:paraId="4FDCFDD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F5A9" w14:textId="3DEDE6DB" w:rsidR="00965ECD" w:rsidRPr="0015278C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Interprets the articles </w:t>
            </w:r>
            <w:r w:rsidR="00DB7F5B"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of studies 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conducted as meta-analysis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2098" w14:textId="67A10D8C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5D02" w14:textId="28919C9C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1,R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DDE3" w14:textId="3C725A10" w:rsidR="00965ECD" w:rsidRPr="00710223" w:rsidRDefault="00965ECD" w:rsidP="00965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MS1, MS2 </w:t>
            </w:r>
          </w:p>
        </w:tc>
      </w:tr>
      <w:tr w:rsidR="00DB7F5B" w:rsidRPr="00710223" w14:paraId="002C643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CF2E" w14:textId="5EE666BA" w:rsidR="00DB7F5B" w:rsidRPr="0015278C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 measures related to health and disease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E901" w14:textId="6778907A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PQ13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CEA4" w14:textId="604503C1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260C" w14:textId="0736B666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MS1, MS4, MS5 </w:t>
            </w:r>
          </w:p>
        </w:tc>
      </w:tr>
      <w:tr w:rsidR="00DB7F5B" w:rsidRPr="00710223" w14:paraId="7DDB78F9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3B5E" w14:textId="3C77A2F6" w:rsidR="00DB7F5B" w:rsidRPr="0015278C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78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Interprets measures related to health and disease</w:t>
            </w:r>
            <w:r w:rsidRPr="0015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8069" w14:textId="618804BF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E7E7" w14:textId="3A2AEE5A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1,R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65C0" w14:textId="3346DD66" w:rsidR="00DB7F5B" w:rsidRPr="00710223" w:rsidRDefault="00DB7F5B" w:rsidP="00DB7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MS1, MS2 </w:t>
            </w:r>
          </w:p>
        </w:tc>
      </w:tr>
      <w:tr w:rsidR="00137D81" w:rsidRPr="00710223" w14:paraId="57B0F757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EDA4" w14:textId="48455226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Performs common risk calculations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9E06" w14:textId="616C7CA7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FFF5" w14:textId="18070C7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12F" w14:textId="767080B6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137D81" w:rsidRPr="00710223" w14:paraId="22057827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218B" w14:textId="4DB49302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 sensitivity, specificity, and predictive value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B2AD" w14:textId="36202C3F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873E" w14:textId="17A768CC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1AAF" w14:textId="6582FB5F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137D81" w:rsidRPr="00710223" w14:paraId="2A6F11F3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2E2D" w14:textId="613DD7F8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Interprets sensitivity, specificity, and predictive value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53E2" w14:textId="6822550A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CF48" w14:textId="08255EBE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gramStart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1,R</w:t>
            </w:r>
            <w:proofErr w:type="gramEnd"/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D041" w14:textId="09B27472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70546C0B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841C" w14:textId="55B72A3C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Calculates the accuracy values of diagnostic tests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1AC3" w14:textId="44E57F01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7698" w14:textId="69D11DF6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7132" w14:textId="23552CA5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137D81" w:rsidRPr="00710223" w14:paraId="55CAA1E4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2CE" w14:textId="0BF5DDB8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Critically appraises research methods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0430" w14:textId="053FC1F1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4428" w14:textId="484CC9B3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9E81" w14:textId="70D3A206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008929EB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7DA" w14:textId="3F38041D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Identifies errors in the studies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4300" w14:textId="0C23A716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48AB" w14:textId="04B96DCB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90A8" w14:textId="5CB28690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137D81" w:rsidRPr="00710223" w14:paraId="74A269E0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28A3" w14:textId="79FFE829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Explains the meaning of the scientific terms in medical studies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C457" w14:textId="4BCAE91B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1041" w14:textId="4388610F" w:rsidR="00137D81" w:rsidRPr="00710223" w:rsidRDefault="00137D81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E80" w14:textId="1147FA43" w:rsidR="00137D81" w:rsidRPr="00710223" w:rsidRDefault="008818F6" w:rsidP="00137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137D81"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</w:tr>
    </w:tbl>
    <w:p w14:paraId="28A2CF92" w14:textId="77777777" w:rsidR="00F17256" w:rsidRPr="00710223" w:rsidRDefault="00F17256" w:rsidP="00F17256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17256" w:rsidRPr="00710223" w:rsidSect="00F17256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33D2" w14:textId="77777777" w:rsidR="00B52954" w:rsidRDefault="00B52954" w:rsidP="00117AB4">
      <w:pPr>
        <w:spacing w:after="0" w:line="240" w:lineRule="auto"/>
      </w:pPr>
      <w:r>
        <w:separator/>
      </w:r>
    </w:p>
  </w:endnote>
  <w:endnote w:type="continuationSeparator" w:id="0">
    <w:p w14:paraId="2F19B6B9" w14:textId="77777777" w:rsidR="00B52954" w:rsidRDefault="00B52954" w:rsidP="001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031F" w14:textId="77777777" w:rsidR="00117AB4" w:rsidRDefault="00117A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5787B" w14:textId="77777777" w:rsidR="00117AB4" w:rsidRDefault="00117A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3782" w14:textId="77777777" w:rsidR="00117AB4" w:rsidRDefault="00117A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B3E1" w14:textId="77777777" w:rsidR="00B52954" w:rsidRDefault="00B52954" w:rsidP="00117AB4">
      <w:pPr>
        <w:spacing w:after="0" w:line="240" w:lineRule="auto"/>
      </w:pPr>
      <w:r>
        <w:separator/>
      </w:r>
    </w:p>
  </w:footnote>
  <w:footnote w:type="continuationSeparator" w:id="0">
    <w:p w14:paraId="762D0F07" w14:textId="77777777" w:rsidR="00B52954" w:rsidRDefault="00B52954" w:rsidP="0011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D8DB" w14:textId="77777777" w:rsidR="00117AB4" w:rsidRDefault="00117A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B2E5" w14:textId="77777777" w:rsidR="00117AB4" w:rsidRDefault="00117A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F54D6" w14:textId="77777777" w:rsidR="00117AB4" w:rsidRDefault="00117A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16654"/>
    <w:multiLevelType w:val="hybridMultilevel"/>
    <w:tmpl w:val="C07CCEEE"/>
    <w:lvl w:ilvl="0" w:tplc="20FCB52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8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CF9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EE4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F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0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EC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8B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E7799"/>
    <w:multiLevelType w:val="hybridMultilevel"/>
    <w:tmpl w:val="80B40C36"/>
    <w:lvl w:ilvl="0" w:tplc="CBDC55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E39B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02AC2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4421A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41D38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C604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2FF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22840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C2E16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A57F9"/>
    <w:multiLevelType w:val="hybridMultilevel"/>
    <w:tmpl w:val="5ADC3576"/>
    <w:lvl w:ilvl="0" w:tplc="68FAD47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1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4A94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44E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A60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86C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C2F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1CD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37A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A5761"/>
    <w:multiLevelType w:val="hybridMultilevel"/>
    <w:tmpl w:val="E5207F88"/>
    <w:lvl w:ilvl="0" w:tplc="86306232">
      <w:start w:val="1"/>
      <w:numFmt w:val="decimal"/>
      <w:lvlText w:val="%1."/>
      <w:lvlJc w:val="left"/>
      <w:pPr>
        <w:ind w:left="37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12" w:hanging="360"/>
      </w:pPr>
    </w:lvl>
    <w:lvl w:ilvl="2" w:tplc="041F001B" w:tentative="1">
      <w:start w:val="1"/>
      <w:numFmt w:val="lowerRoman"/>
      <w:lvlText w:val="%3."/>
      <w:lvlJc w:val="right"/>
      <w:pPr>
        <w:ind w:left="1732" w:hanging="180"/>
      </w:pPr>
    </w:lvl>
    <w:lvl w:ilvl="3" w:tplc="041F000F" w:tentative="1">
      <w:start w:val="1"/>
      <w:numFmt w:val="decimal"/>
      <w:lvlText w:val="%4."/>
      <w:lvlJc w:val="left"/>
      <w:pPr>
        <w:ind w:left="2452" w:hanging="360"/>
      </w:pPr>
    </w:lvl>
    <w:lvl w:ilvl="4" w:tplc="041F0019" w:tentative="1">
      <w:start w:val="1"/>
      <w:numFmt w:val="lowerLetter"/>
      <w:lvlText w:val="%5."/>
      <w:lvlJc w:val="left"/>
      <w:pPr>
        <w:ind w:left="3172" w:hanging="360"/>
      </w:pPr>
    </w:lvl>
    <w:lvl w:ilvl="5" w:tplc="041F001B" w:tentative="1">
      <w:start w:val="1"/>
      <w:numFmt w:val="lowerRoman"/>
      <w:lvlText w:val="%6."/>
      <w:lvlJc w:val="right"/>
      <w:pPr>
        <w:ind w:left="3892" w:hanging="180"/>
      </w:pPr>
    </w:lvl>
    <w:lvl w:ilvl="6" w:tplc="041F000F" w:tentative="1">
      <w:start w:val="1"/>
      <w:numFmt w:val="decimal"/>
      <w:lvlText w:val="%7."/>
      <w:lvlJc w:val="left"/>
      <w:pPr>
        <w:ind w:left="4612" w:hanging="360"/>
      </w:pPr>
    </w:lvl>
    <w:lvl w:ilvl="7" w:tplc="041F0019" w:tentative="1">
      <w:start w:val="1"/>
      <w:numFmt w:val="lowerLetter"/>
      <w:lvlText w:val="%8."/>
      <w:lvlJc w:val="left"/>
      <w:pPr>
        <w:ind w:left="5332" w:hanging="360"/>
      </w:pPr>
    </w:lvl>
    <w:lvl w:ilvl="8" w:tplc="041F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629D644B"/>
    <w:multiLevelType w:val="hybridMultilevel"/>
    <w:tmpl w:val="2BC818EC"/>
    <w:lvl w:ilvl="0" w:tplc="86306232">
      <w:start w:val="1"/>
      <w:numFmt w:val="decimal"/>
      <w:lvlText w:val="%1."/>
      <w:lvlJc w:val="left"/>
      <w:pPr>
        <w:ind w:left="79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76F72A6B"/>
    <w:multiLevelType w:val="hybridMultilevel"/>
    <w:tmpl w:val="28969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zUxMDAxNrc0NDZX0lEKTi0uzszPAymwqAUA04nFtiwAAAA="/>
  </w:docVars>
  <w:rsids>
    <w:rsidRoot w:val="009E0FCB"/>
    <w:rsid w:val="00034B8C"/>
    <w:rsid w:val="0006246F"/>
    <w:rsid w:val="00087C69"/>
    <w:rsid w:val="00091833"/>
    <w:rsid w:val="000A1275"/>
    <w:rsid w:val="000B404B"/>
    <w:rsid w:val="000D225E"/>
    <w:rsid w:val="00117AB4"/>
    <w:rsid w:val="00135283"/>
    <w:rsid w:val="00137D81"/>
    <w:rsid w:val="0015278C"/>
    <w:rsid w:val="00185078"/>
    <w:rsid w:val="00185B1C"/>
    <w:rsid w:val="001F18D7"/>
    <w:rsid w:val="0020255C"/>
    <w:rsid w:val="00203DF8"/>
    <w:rsid w:val="00251505"/>
    <w:rsid w:val="0027465E"/>
    <w:rsid w:val="002929C1"/>
    <w:rsid w:val="002B3631"/>
    <w:rsid w:val="002D0B41"/>
    <w:rsid w:val="002D7B47"/>
    <w:rsid w:val="002D7BD7"/>
    <w:rsid w:val="002E56E6"/>
    <w:rsid w:val="00305325"/>
    <w:rsid w:val="00333052"/>
    <w:rsid w:val="00344E56"/>
    <w:rsid w:val="00377329"/>
    <w:rsid w:val="0038788D"/>
    <w:rsid w:val="00393B1A"/>
    <w:rsid w:val="003B3C29"/>
    <w:rsid w:val="003F2D7D"/>
    <w:rsid w:val="00434C78"/>
    <w:rsid w:val="004874E2"/>
    <w:rsid w:val="004A1394"/>
    <w:rsid w:val="004D0AA7"/>
    <w:rsid w:val="0052696D"/>
    <w:rsid w:val="00573D69"/>
    <w:rsid w:val="00580BDD"/>
    <w:rsid w:val="005A58B9"/>
    <w:rsid w:val="005D141D"/>
    <w:rsid w:val="005D71CF"/>
    <w:rsid w:val="005F4AE8"/>
    <w:rsid w:val="005F553C"/>
    <w:rsid w:val="005F7115"/>
    <w:rsid w:val="006D4716"/>
    <w:rsid w:val="007073C0"/>
    <w:rsid w:val="00710223"/>
    <w:rsid w:val="00720741"/>
    <w:rsid w:val="00750407"/>
    <w:rsid w:val="007668ED"/>
    <w:rsid w:val="00774AF1"/>
    <w:rsid w:val="007A708B"/>
    <w:rsid w:val="007B0487"/>
    <w:rsid w:val="007F2186"/>
    <w:rsid w:val="00841977"/>
    <w:rsid w:val="00857A4A"/>
    <w:rsid w:val="0087149D"/>
    <w:rsid w:val="008818F6"/>
    <w:rsid w:val="008F6350"/>
    <w:rsid w:val="00910A68"/>
    <w:rsid w:val="00925A98"/>
    <w:rsid w:val="009352AB"/>
    <w:rsid w:val="00965ECD"/>
    <w:rsid w:val="00994A6B"/>
    <w:rsid w:val="009E0FCB"/>
    <w:rsid w:val="00A36916"/>
    <w:rsid w:val="00A9694E"/>
    <w:rsid w:val="00B05D5D"/>
    <w:rsid w:val="00B2375F"/>
    <w:rsid w:val="00B26465"/>
    <w:rsid w:val="00B52954"/>
    <w:rsid w:val="00B93740"/>
    <w:rsid w:val="00BA3FAB"/>
    <w:rsid w:val="00BB6EB9"/>
    <w:rsid w:val="00BF1C26"/>
    <w:rsid w:val="00C26DB2"/>
    <w:rsid w:val="00C56BF3"/>
    <w:rsid w:val="00C57526"/>
    <w:rsid w:val="00CE4409"/>
    <w:rsid w:val="00D01AEE"/>
    <w:rsid w:val="00D82062"/>
    <w:rsid w:val="00D87107"/>
    <w:rsid w:val="00DB164E"/>
    <w:rsid w:val="00DB7F5B"/>
    <w:rsid w:val="00E6518C"/>
    <w:rsid w:val="00E829C9"/>
    <w:rsid w:val="00EE037C"/>
    <w:rsid w:val="00F02C6F"/>
    <w:rsid w:val="00F17256"/>
    <w:rsid w:val="00F92A6C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5FA8"/>
  <w15:docId w15:val="{634D6B0C-5DA1-441D-B9E3-8D8A3B51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B3C2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878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78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788D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8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8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1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7AB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1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7AB4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925A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3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0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chranelibrar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4C102AFF131E4EAB36DEBA29929A11" ma:contentTypeVersion="11" ma:contentTypeDescription="Yeni belge oluşturun." ma:contentTypeScope="" ma:versionID="6e25e6714633833d5e2419d1997a00b5">
  <xsd:schema xmlns:xsd="http://www.w3.org/2001/XMLSchema" xmlns:xs="http://www.w3.org/2001/XMLSchema" xmlns:p="http://schemas.microsoft.com/office/2006/metadata/properties" xmlns:ns3="d6b16b5d-bd60-4890-983d-39f070fb2d23" targetNamespace="http://schemas.microsoft.com/office/2006/metadata/properties" ma:root="true" ma:fieldsID="22e723192e3ad0393fe4ffff5f2103a2" ns3:_="">
    <xsd:import namespace="d6b16b5d-bd60-4890-983d-39f070fb2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6b5d-bd60-4890-983d-39f070fb2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157BB-0B8A-4708-BF14-7B292CB1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16b5d-bd60-4890-983d-39f070fb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97F8C-6DA0-4B97-ACF8-CD58FFE12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87308-E56D-4206-A689-C8C0F9FD0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cp:lastModifiedBy>Sedat GÜNBEK</cp:lastModifiedBy>
  <cp:revision>32</cp:revision>
  <dcterms:created xsi:type="dcterms:W3CDTF">2022-03-01T08:02:00Z</dcterms:created>
  <dcterms:modified xsi:type="dcterms:W3CDTF">2022-03-08T12:49:00Z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2021-09-30T22:18:25Z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74f88996-917a-4927-96c8-b4d9be9a17dd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0x010100DE4C102AFF131E4EAB36DEBA29929A11</vt:lpwstr>
  </property>
</Properties>
</file>