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65D8" w14:textId="77777777" w:rsidR="004C3AB7" w:rsidRDefault="00514FB9" w:rsidP="00443165">
      <w:pPr>
        <w:pStyle w:val="Balk1"/>
        <w:spacing w:before="74" w:line="360" w:lineRule="auto"/>
        <w:ind w:left="4408" w:right="4408"/>
        <w:jc w:val="center"/>
      </w:pPr>
      <w:r>
        <w:t>T.C.</w:t>
      </w:r>
    </w:p>
    <w:p w14:paraId="3E13F0E2" w14:textId="77777777" w:rsidR="00373CCA" w:rsidRDefault="00514FB9" w:rsidP="00443165">
      <w:pPr>
        <w:pStyle w:val="P68B1DB1-Normal1"/>
        <w:spacing w:line="360" w:lineRule="auto"/>
        <w:ind w:left="1121" w:right="1107" w:firstLine="1421"/>
      </w:pPr>
      <w:r>
        <w:t>ISTANBUL MEDIPOL UNIVERSITY</w:t>
      </w:r>
    </w:p>
    <w:p w14:paraId="5D77F286" w14:textId="77777777" w:rsidR="00D774F3" w:rsidRDefault="00514FB9" w:rsidP="00443165">
      <w:pPr>
        <w:pStyle w:val="P68B1DB1-Normal1"/>
        <w:spacing w:line="360" w:lineRule="auto"/>
        <w:ind w:left="1121" w:right="1107"/>
        <w:jc w:val="center"/>
      </w:pPr>
      <w:r>
        <w:t>SCHOOL OF PHARMACY</w:t>
      </w:r>
    </w:p>
    <w:p w14:paraId="3D23CB56" w14:textId="3AD6CCB4" w:rsidR="004C3AB7" w:rsidRDefault="00514FB9" w:rsidP="00443165">
      <w:pPr>
        <w:pStyle w:val="P68B1DB1-Normal1"/>
        <w:spacing w:line="360" w:lineRule="auto"/>
        <w:ind w:left="1121" w:right="1107"/>
        <w:jc w:val="center"/>
      </w:pPr>
      <w:r>
        <w:t>EDUCATION INSTRUCTION*</w:t>
      </w:r>
    </w:p>
    <w:p w14:paraId="213C811B" w14:textId="77777777" w:rsidR="004C3AB7" w:rsidRDefault="004C3AB7" w:rsidP="00297428">
      <w:pPr>
        <w:pStyle w:val="GvdeMetni"/>
        <w:spacing w:before="1"/>
        <w:rPr>
          <w:b/>
          <w:sz w:val="36"/>
        </w:rPr>
      </w:pPr>
    </w:p>
    <w:p w14:paraId="29319AA3" w14:textId="77777777" w:rsidR="004C3AB7" w:rsidRDefault="00514FB9" w:rsidP="00443165">
      <w:pPr>
        <w:pStyle w:val="P68B1DB1-Normal1"/>
        <w:spacing w:before="1" w:line="274" w:lineRule="exact"/>
        <w:ind w:left="968"/>
        <w:jc w:val="center"/>
      </w:pPr>
      <w:proofErr w:type="spellStart"/>
      <w:r>
        <w:t>Aim</w:t>
      </w:r>
      <w:proofErr w:type="spellEnd"/>
    </w:p>
    <w:p w14:paraId="5872A809" w14:textId="7B972A4E" w:rsidR="00212AEA" w:rsidRDefault="00514FB9" w:rsidP="00297428">
      <w:pPr>
        <w:pStyle w:val="GvdeMetni"/>
        <w:ind w:left="116" w:right="112" w:firstLine="851"/>
      </w:pPr>
      <w:r>
        <w:rPr>
          <w:b/>
        </w:rPr>
        <w:t xml:space="preserve">ARTICLE 1 </w:t>
      </w:r>
      <w:r w:rsidR="00212AEA">
        <w:t>–</w:t>
      </w:r>
    </w:p>
    <w:p w14:paraId="6F063109" w14:textId="324A3238" w:rsidR="004C3AB7" w:rsidRDefault="00514FB9" w:rsidP="00297428">
      <w:pPr>
        <w:pStyle w:val="GvdeMetni"/>
        <w:ind w:left="116" w:right="112" w:firstLine="851"/>
      </w:pPr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rPr>
          <w:color w:val="FF0000"/>
        </w:rPr>
        <w:t xml:space="preserve"> </w:t>
      </w:r>
      <w:proofErr w:type="spellStart"/>
      <w:r w:rsidRPr="003670A8">
        <w:t>and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of </w:t>
      </w:r>
      <w:proofErr w:type="spellStart"/>
      <w:r>
        <w:t>undergraduate</w:t>
      </w:r>
      <w:r w:rsidR="000B2773">
        <w:t>-associate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Pharmacy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5B940D98" w14:textId="77777777" w:rsidR="004C3AB7" w:rsidRDefault="004C3AB7" w:rsidP="00297428">
      <w:pPr>
        <w:pStyle w:val="GvdeMetni"/>
        <w:spacing w:before="7"/>
      </w:pPr>
    </w:p>
    <w:p w14:paraId="59DA6CA4" w14:textId="77777777" w:rsidR="004C3AB7" w:rsidRDefault="00514FB9" w:rsidP="00443165">
      <w:pPr>
        <w:pStyle w:val="Balk1"/>
        <w:spacing w:line="240" w:lineRule="auto"/>
        <w:jc w:val="center"/>
      </w:pPr>
      <w:r>
        <w:t>Base</w:t>
      </w:r>
    </w:p>
    <w:p w14:paraId="3E62E2E1" w14:textId="00FCA854" w:rsidR="00212AEA" w:rsidRDefault="00514FB9" w:rsidP="00297428">
      <w:pPr>
        <w:pStyle w:val="GvdeMetni"/>
        <w:ind w:left="116" w:right="115" w:firstLine="851"/>
        <w:rPr>
          <w:b/>
        </w:rPr>
      </w:pPr>
      <w:r>
        <w:rPr>
          <w:b/>
        </w:rPr>
        <w:t xml:space="preserve">ARTICLE 2 </w:t>
      </w:r>
      <w:r w:rsidR="00212AEA">
        <w:rPr>
          <w:b/>
        </w:rPr>
        <w:t>–</w:t>
      </w:r>
      <w:r>
        <w:rPr>
          <w:b/>
        </w:rPr>
        <w:t xml:space="preserve"> </w:t>
      </w:r>
    </w:p>
    <w:p w14:paraId="2B86A30D" w14:textId="1D97B7FA" w:rsidR="004C3AB7" w:rsidRDefault="00514FB9" w:rsidP="00297428">
      <w:pPr>
        <w:pStyle w:val="GvdeMetni"/>
        <w:ind w:left="116" w:right="115" w:firstLine="851"/>
      </w:pP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212AEA">
        <w:t>based</w:t>
      </w:r>
      <w:proofErr w:type="spellEnd"/>
      <w:r w:rsidR="00212AEA">
        <w:t xml:space="preserve"> on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D774F3">
        <w:t>Istanbul</w:t>
      </w:r>
      <w:proofErr w:type="spellEnd"/>
      <w:r w:rsidR="00D774F3">
        <w:t xml:space="preserve"> </w:t>
      </w:r>
      <w:proofErr w:type="spellStart"/>
      <w:r w:rsidR="00D774F3">
        <w:t>Medipol</w:t>
      </w:r>
      <w:proofErr w:type="spellEnd"/>
      <w:r w:rsidR="00D774F3">
        <w:t xml:space="preserve"> </w:t>
      </w:r>
      <w:proofErr w:type="spellStart"/>
      <w:r w:rsidR="00D774F3">
        <w:t>University</w:t>
      </w:r>
      <w:proofErr w:type="spellEnd"/>
      <w:r w:rsidR="00D774F3">
        <w:t xml:space="preserve"> </w:t>
      </w:r>
      <w:proofErr w:type="spellStart"/>
      <w:r w:rsidR="00D774F3">
        <w:t>Associate</w:t>
      </w:r>
      <w:proofErr w:type="spellEnd"/>
      <w:r w:rsidR="00D774F3">
        <w:t xml:space="preserve"> </w:t>
      </w:r>
      <w:proofErr w:type="spellStart"/>
      <w:r w:rsidR="00D774F3">
        <w:t>and</w:t>
      </w:r>
      <w:proofErr w:type="spellEnd"/>
      <w:r w:rsidR="00D774F3">
        <w:t xml:space="preserve"> </w:t>
      </w:r>
      <w:proofErr w:type="spellStart"/>
      <w:r w:rsidR="00D774F3">
        <w:t>Undergraduate</w:t>
      </w:r>
      <w:proofErr w:type="spellEnd"/>
      <w:r w:rsidR="00D774F3">
        <w:t xml:space="preserve"> </w:t>
      </w:r>
      <w:proofErr w:type="spellStart"/>
      <w:r w:rsidR="00D774F3">
        <w:t>Education</w:t>
      </w:r>
      <w:proofErr w:type="spellEnd"/>
      <w:r w:rsidR="00D774F3">
        <w:t xml:space="preserve"> </w:t>
      </w:r>
      <w:proofErr w:type="spellStart"/>
      <w:r w:rsidR="00D774F3">
        <w:t>Regulations</w:t>
      </w:r>
      <w:proofErr w:type="spellEnd"/>
      <w:r w:rsidR="00212AEA">
        <w:t>,</w:t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17.08.2012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r>
        <w:rPr>
          <w:rFonts w:ascii="Calibri" w:hAnsi="Calibri"/>
          <w:sz w:val="22"/>
        </w:rPr>
        <w:t>28387</w:t>
      </w:r>
      <w:r>
        <w:t>.</w:t>
      </w:r>
    </w:p>
    <w:p w14:paraId="6729EA89" w14:textId="77777777" w:rsidR="004C3AB7" w:rsidRDefault="004C3AB7" w:rsidP="00297428">
      <w:pPr>
        <w:pStyle w:val="GvdeMetni"/>
        <w:spacing w:before="5"/>
      </w:pPr>
    </w:p>
    <w:p w14:paraId="4E17682E" w14:textId="77777777" w:rsidR="004C3AB7" w:rsidRDefault="00514FB9" w:rsidP="00443165">
      <w:pPr>
        <w:pStyle w:val="Balk1"/>
        <w:jc w:val="center"/>
      </w:pPr>
      <w:proofErr w:type="spellStart"/>
      <w:r>
        <w:t>Education</w:t>
      </w:r>
      <w:proofErr w:type="spellEnd"/>
    </w:p>
    <w:p w14:paraId="346FB70A" w14:textId="77777777" w:rsidR="00212AEA" w:rsidRDefault="00514FB9" w:rsidP="00297428">
      <w:pPr>
        <w:pStyle w:val="GvdeMetni"/>
        <w:ind w:left="116" w:right="115" w:firstLine="851"/>
        <w:rPr>
          <w:b/>
        </w:rPr>
      </w:pPr>
      <w:r>
        <w:rPr>
          <w:b/>
        </w:rPr>
        <w:t xml:space="preserve">ARTICLE 3 – </w:t>
      </w:r>
    </w:p>
    <w:p w14:paraId="73048174" w14:textId="2225BAA2" w:rsidR="004C3AB7" w:rsidRDefault="00514FB9" w:rsidP="00297428">
      <w:pPr>
        <w:pStyle w:val="GvdeMetni"/>
        <w:ind w:left="116" w:right="115" w:firstLine="851"/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Pharmacy</w:t>
      </w:r>
      <w:proofErr w:type="spellEnd"/>
      <w:r>
        <w:t xml:space="preserve"> is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organized</w:t>
      </w:r>
      <w:proofErr w:type="spellEnd"/>
      <w:r>
        <w:t xml:space="preserve"> </w:t>
      </w:r>
      <w:proofErr w:type="spellStart"/>
      <w:r w:rsidR="00212AEA">
        <w:t>based</w:t>
      </w:r>
      <w:proofErr w:type="spellEnd"/>
      <w:r w:rsidR="00212AEA">
        <w:t xml:space="preserve"> on</w:t>
      </w:r>
      <w:r>
        <w:t xml:space="preserve"> </w:t>
      </w:r>
      <w:proofErr w:type="spellStart"/>
      <w:r w:rsidR="00212AEA">
        <w:t>the</w:t>
      </w:r>
      <w:proofErr w:type="spellEnd"/>
      <w:r w:rsidR="00212AEA"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0EE729B1" w14:textId="32BF147C" w:rsidR="004C3AB7" w:rsidRDefault="00514FB9" w:rsidP="00297428">
      <w:pPr>
        <w:pStyle w:val="P68B1DB1-ListParagraph2"/>
        <w:numPr>
          <w:ilvl w:val="0"/>
          <w:numId w:val="2"/>
        </w:numPr>
        <w:tabs>
          <w:tab w:val="left" w:pos="1307"/>
        </w:tabs>
        <w:spacing w:before="2"/>
        <w:ind w:firstLine="852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Basic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is </w:t>
      </w:r>
      <w:proofErr w:type="spellStart"/>
      <w:r w:rsidR="00212AEA">
        <w:t>provided</w:t>
      </w:r>
      <w:proofErr w:type="spellEnd"/>
      <w:r>
        <w:t xml:space="preserve"> on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</w:t>
      </w:r>
    </w:p>
    <w:p w14:paraId="55372A2A" w14:textId="77777777" w:rsidR="004C3AB7" w:rsidRDefault="00514FB9" w:rsidP="00297428">
      <w:pPr>
        <w:pStyle w:val="P68B1DB1-ListParagraph2"/>
        <w:numPr>
          <w:ilvl w:val="0"/>
          <w:numId w:val="2"/>
        </w:numPr>
        <w:tabs>
          <w:tab w:val="left" w:pos="1307"/>
        </w:tabs>
        <w:ind w:right="0" w:firstLine="852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an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>.</w:t>
      </w:r>
    </w:p>
    <w:p w14:paraId="4059764F" w14:textId="77777777" w:rsidR="004C3AB7" w:rsidRDefault="00514FB9" w:rsidP="00297428">
      <w:pPr>
        <w:pStyle w:val="P68B1DB1-ListParagraph2"/>
        <w:numPr>
          <w:ilvl w:val="0"/>
          <w:numId w:val="2"/>
        </w:numPr>
        <w:tabs>
          <w:tab w:val="left" w:pos="1345"/>
        </w:tabs>
        <w:ind w:firstLine="852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Graduation</w:t>
      </w:r>
      <w:proofErr w:type="spellEnd"/>
      <w:r>
        <w:t xml:space="preserve"> Project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lasts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>.</w:t>
      </w:r>
    </w:p>
    <w:p w14:paraId="431C8180" w14:textId="77777777" w:rsidR="004C3AB7" w:rsidRDefault="00514FB9" w:rsidP="00297428">
      <w:pPr>
        <w:pStyle w:val="GvdeMetni"/>
        <w:ind w:left="1028"/>
      </w:pPr>
      <w:proofErr w:type="spellStart"/>
      <w:r>
        <w:t>Provisions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 w:rsidR="003670A8">
        <w:t>instruction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Project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>.</w:t>
      </w:r>
    </w:p>
    <w:p w14:paraId="37A0EC4F" w14:textId="77777777" w:rsidR="004C3AB7" w:rsidRDefault="004C3AB7" w:rsidP="00297428">
      <w:pPr>
        <w:pStyle w:val="GvdeMetni"/>
      </w:pPr>
    </w:p>
    <w:p w14:paraId="33966040" w14:textId="77777777" w:rsidR="004C3AB7" w:rsidRDefault="00514FB9" w:rsidP="00443165">
      <w:pPr>
        <w:pStyle w:val="Balk1"/>
        <w:spacing w:line="240" w:lineRule="auto"/>
        <w:ind w:left="1028"/>
        <w:jc w:val="center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1655F09B" w14:textId="77777777" w:rsidR="00212AEA" w:rsidRDefault="00514FB9" w:rsidP="00297428">
      <w:pPr>
        <w:pStyle w:val="GvdeMetni"/>
        <w:ind w:left="116" w:right="114" w:firstLine="851"/>
        <w:rPr>
          <w:b/>
        </w:rPr>
      </w:pPr>
      <w:r>
        <w:rPr>
          <w:b/>
        </w:rPr>
        <w:t xml:space="preserve">ARTICLE 4 – </w:t>
      </w:r>
    </w:p>
    <w:p w14:paraId="2AF75104" w14:textId="3C3F1CF3" w:rsidR="004C3AB7" w:rsidRDefault="00514FB9" w:rsidP="00297428">
      <w:pPr>
        <w:pStyle w:val="GvdeMetni"/>
        <w:ind w:left="116" w:right="114" w:firstLine="851"/>
      </w:pPr>
      <w:r>
        <w:t xml:space="preserve">(1) </w:t>
      </w:r>
      <w:proofErr w:type="spellStart"/>
      <w:r w:rsidR="00C57623">
        <w:t>T</w:t>
      </w:r>
      <w:r>
        <w:t>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, </w:t>
      </w:r>
      <w:proofErr w:type="spellStart"/>
      <w:r w:rsidR="00212AEA">
        <w:t>the</w:t>
      </w:r>
      <w:proofErr w:type="spellEnd"/>
      <w:r w:rsidR="00212AEA"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is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Administrative</w:t>
      </w:r>
      <w:proofErr w:type="spellEnd"/>
      <w:r>
        <w:t xml:space="preserve"> Board.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is </w:t>
      </w:r>
      <w:proofErr w:type="spellStart"/>
      <w:r>
        <w:t>chaired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Vice-Deans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advises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Board on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6CEBD127" w14:textId="77777777" w:rsidR="004C3AB7" w:rsidRDefault="004C3AB7" w:rsidP="00297428">
      <w:pPr>
        <w:pStyle w:val="GvdeMetni"/>
        <w:spacing w:before="5"/>
      </w:pPr>
    </w:p>
    <w:p w14:paraId="2DC3C90B" w14:textId="77777777" w:rsidR="004C3AB7" w:rsidRDefault="00514FB9" w:rsidP="00443165">
      <w:pPr>
        <w:pStyle w:val="Balk1"/>
        <w:jc w:val="center"/>
      </w:pPr>
      <w:r>
        <w:t xml:space="preserve">Courses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Credits</w:t>
      </w:r>
      <w:proofErr w:type="spellEnd"/>
    </w:p>
    <w:p w14:paraId="5C6AC783" w14:textId="77777777" w:rsidR="00212AEA" w:rsidRDefault="00514FB9" w:rsidP="00297428">
      <w:pPr>
        <w:pStyle w:val="GvdeMetni"/>
        <w:ind w:left="116" w:right="114" w:firstLine="851"/>
        <w:rPr>
          <w:b/>
        </w:rPr>
      </w:pPr>
      <w:r>
        <w:rPr>
          <w:b/>
        </w:rPr>
        <w:t xml:space="preserve">ARTICLE 5 – </w:t>
      </w:r>
    </w:p>
    <w:p w14:paraId="4B0478D9" w14:textId="79FC3ADA" w:rsidR="004C3AB7" w:rsidRDefault="00514FB9" w:rsidP="00297428">
      <w:pPr>
        <w:pStyle w:val="GvdeMetni"/>
        <w:ind w:left="116" w:right="114" w:firstLine="851"/>
      </w:pPr>
      <w:r>
        <w:t xml:space="preserve">(1)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ECTS </w:t>
      </w:r>
      <w:proofErr w:type="spellStart"/>
      <w:r>
        <w:t>values</w:t>
      </w:r>
      <w:proofErr w:type="spellEnd"/>
      <w:r>
        <w:t>.</w:t>
      </w:r>
    </w:p>
    <w:p w14:paraId="059CEC1C" w14:textId="77777777" w:rsidR="004C3AB7" w:rsidRDefault="004C3AB7" w:rsidP="00297428">
      <w:pPr>
        <w:pStyle w:val="GvdeMetni"/>
        <w:spacing w:before="9"/>
        <w:rPr>
          <w:sz w:val="27"/>
        </w:rPr>
      </w:pPr>
    </w:p>
    <w:p w14:paraId="701AA863" w14:textId="77777777" w:rsidR="004C3AB7" w:rsidRDefault="00514FB9" w:rsidP="00297428">
      <w:pPr>
        <w:pStyle w:val="P68B1DB1-ListParagraph2"/>
        <w:numPr>
          <w:ilvl w:val="0"/>
          <w:numId w:val="1"/>
        </w:numPr>
        <w:tabs>
          <w:tab w:val="left" w:pos="1307"/>
        </w:tabs>
        <w:ind w:right="0" w:hanging="338"/>
      </w:pPr>
      <w:r>
        <w:t xml:space="preserve">Courses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compulsory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49BAE356" w14:textId="77777777" w:rsidR="004C3AB7" w:rsidRDefault="004C3AB7" w:rsidP="00297428">
      <w:pPr>
        <w:pStyle w:val="GvdeMetni"/>
        <w:spacing w:before="7"/>
      </w:pPr>
    </w:p>
    <w:p w14:paraId="21B0405F" w14:textId="5C466E9E" w:rsidR="004C3AB7" w:rsidRDefault="00514FB9" w:rsidP="00297428">
      <w:pPr>
        <w:pStyle w:val="P68B1DB1-ListParagraph2"/>
        <w:numPr>
          <w:ilvl w:val="1"/>
          <w:numId w:val="1"/>
        </w:numPr>
        <w:tabs>
          <w:tab w:val="left" w:pos="1329"/>
        </w:tabs>
        <w:spacing w:line="237" w:lineRule="auto"/>
        <w:ind w:right="1074"/>
      </w:pPr>
      <w:proofErr w:type="spellStart"/>
      <w:r>
        <w:t>Compulsory</w:t>
      </w:r>
      <w:proofErr w:type="spellEnd"/>
      <w:r>
        <w:t xml:space="preserve"> Courses: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>.</w:t>
      </w:r>
    </w:p>
    <w:p w14:paraId="01A24618" w14:textId="77777777" w:rsidR="004C3AB7" w:rsidRDefault="00514FB9" w:rsidP="00297428">
      <w:pPr>
        <w:pStyle w:val="P68B1DB1-ListParagraph2"/>
        <w:numPr>
          <w:ilvl w:val="1"/>
          <w:numId w:val="1"/>
        </w:numPr>
        <w:tabs>
          <w:tab w:val="left" w:pos="1329"/>
        </w:tabs>
        <w:ind w:right="118"/>
      </w:pPr>
      <w:proofErr w:type="spellStart"/>
      <w:r>
        <w:t>Common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Courses: </w:t>
      </w:r>
      <w:proofErr w:type="spellStart"/>
      <w:r>
        <w:t>Atatürk's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Language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Language </w:t>
      </w:r>
      <w:proofErr w:type="spellStart"/>
      <w:r>
        <w:t>courses</w:t>
      </w:r>
      <w:proofErr w:type="spellEnd"/>
      <w:r>
        <w:t>.</w:t>
      </w:r>
    </w:p>
    <w:p w14:paraId="4967C86E" w14:textId="77777777" w:rsidR="004C3AB7" w:rsidRDefault="00514FB9" w:rsidP="00297428">
      <w:pPr>
        <w:pStyle w:val="P68B1DB1-ListParagraph2"/>
        <w:numPr>
          <w:ilvl w:val="1"/>
          <w:numId w:val="1"/>
        </w:numPr>
        <w:tabs>
          <w:tab w:val="left" w:pos="1329"/>
        </w:tabs>
        <w:ind w:right="116"/>
      </w:pPr>
      <w:proofErr w:type="spellStart"/>
      <w:r>
        <w:lastRenderedPageBreak/>
        <w:t>Elective</w:t>
      </w:r>
      <w:proofErr w:type="spellEnd"/>
      <w:r>
        <w:t xml:space="preserve"> Courses: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program.</w:t>
      </w:r>
    </w:p>
    <w:p w14:paraId="2D810944" w14:textId="1858D650" w:rsidR="004C3AB7" w:rsidRDefault="00514FB9" w:rsidP="00297428">
      <w:pPr>
        <w:pStyle w:val="P68B1DB1-ListParagraph2"/>
        <w:numPr>
          <w:ilvl w:val="2"/>
          <w:numId w:val="1"/>
        </w:numPr>
        <w:tabs>
          <w:tab w:val="left" w:pos="1689"/>
        </w:tabs>
        <w:jc w:val="left"/>
      </w:pP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program;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212AEA"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choosing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>,</w:t>
      </w:r>
    </w:p>
    <w:p w14:paraId="3CF1C7EC" w14:textId="77777777" w:rsidR="004C3AB7" w:rsidRDefault="004C3AB7" w:rsidP="00297428">
      <w:pPr>
        <w:rPr>
          <w:sz w:val="24"/>
        </w:rPr>
        <w:sectPr w:rsidR="004C3AB7">
          <w:footerReference w:type="default" r:id="rId7"/>
          <w:type w:val="continuous"/>
          <w:pgSz w:w="11910" w:h="16840"/>
          <w:pgMar w:top="1320" w:right="1300" w:bottom="1680" w:left="1300" w:header="708" w:footer="1480" w:gutter="0"/>
          <w:pgNumType w:start="1"/>
          <w:cols w:space="708"/>
        </w:sectPr>
      </w:pPr>
    </w:p>
    <w:p w14:paraId="228F72EA" w14:textId="7C506648" w:rsidR="004C3AB7" w:rsidRDefault="00514FB9" w:rsidP="00297428">
      <w:pPr>
        <w:pStyle w:val="GvdeMetni"/>
        <w:spacing w:before="70"/>
        <w:ind w:left="1688" w:right="153"/>
      </w:pPr>
      <w:proofErr w:type="spellStart"/>
      <w:r>
        <w:lastRenderedPageBreak/>
        <w:t>Elective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Courses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r w:rsidR="00212AEA">
        <w:t>is</w:t>
      </w:r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Board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74384E1A" w14:textId="77777777" w:rsidR="004C3AB7" w:rsidRDefault="004C3AB7" w:rsidP="00297428">
      <w:pPr>
        <w:pStyle w:val="GvdeMetni"/>
      </w:pPr>
    </w:p>
    <w:p w14:paraId="2F192625" w14:textId="150E8329" w:rsidR="004C3AB7" w:rsidRDefault="00514FB9" w:rsidP="00297428">
      <w:pPr>
        <w:pStyle w:val="GvdeMetni"/>
        <w:ind w:left="1676" w:right="152" w:hanging="144"/>
      </w:pPr>
      <w:r>
        <w:t xml:space="preserve">(3)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;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at his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his </w:t>
      </w:r>
      <w:proofErr w:type="spellStart"/>
      <w:r>
        <w:t>advisor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.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Departm</w:t>
      </w:r>
      <w:r w:rsidR="00212AEA">
        <w:t>enta</w:t>
      </w:r>
      <w:r>
        <w:t xml:space="preserve">l </w:t>
      </w:r>
      <w:proofErr w:type="spellStart"/>
      <w:r>
        <w:t>Elective</w:t>
      </w:r>
      <w:proofErr w:type="spellEnd"/>
      <w:r>
        <w:t xml:space="preserve"> Courses </w:t>
      </w:r>
      <w:proofErr w:type="spellStart"/>
      <w:r>
        <w:t>are</w:t>
      </w:r>
      <w:proofErr w:type="spellEnd"/>
      <w:r>
        <w:t xml:space="preserve"> not </w:t>
      </w:r>
      <w:proofErr w:type="spellStart"/>
      <w:r w:rsidR="00212AEA">
        <w:t>the</w:t>
      </w:r>
      <w:proofErr w:type="spellEnd"/>
      <w:r w:rsidR="00212AEA"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replaced</w:t>
      </w:r>
      <w:proofErr w:type="spellEnd"/>
      <w:r>
        <w:t xml:space="preserve"> </w:t>
      </w:r>
      <w:proofErr w:type="spellStart"/>
      <w:r w:rsidR="00212AEA">
        <w:t>with</w:t>
      </w:r>
      <w:proofErr w:type="spellEnd"/>
      <w:r w:rsidR="00212AEA"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14:paraId="72D92617" w14:textId="77777777" w:rsidR="004C3AB7" w:rsidRDefault="004C3AB7" w:rsidP="00297428">
      <w:pPr>
        <w:pStyle w:val="GvdeMetni"/>
        <w:spacing w:before="4"/>
      </w:pPr>
    </w:p>
    <w:p w14:paraId="0F973998" w14:textId="77777777" w:rsidR="004C3AB7" w:rsidRDefault="00514FB9" w:rsidP="00443165">
      <w:pPr>
        <w:pStyle w:val="Balk1"/>
        <w:jc w:val="center"/>
      </w:pPr>
      <w:proofErr w:type="spellStart"/>
      <w:r>
        <w:t>Prerequisite</w:t>
      </w:r>
      <w:proofErr w:type="spellEnd"/>
      <w:r>
        <w:t xml:space="preserve"> Courses</w:t>
      </w:r>
    </w:p>
    <w:p w14:paraId="27B926F1" w14:textId="77777777" w:rsidR="00212AEA" w:rsidRDefault="00514FB9" w:rsidP="00297428">
      <w:pPr>
        <w:pStyle w:val="GvdeMetni"/>
        <w:ind w:left="968" w:right="597"/>
        <w:rPr>
          <w:b/>
        </w:rPr>
      </w:pPr>
      <w:r>
        <w:rPr>
          <w:b/>
        </w:rPr>
        <w:t xml:space="preserve">ARTICLE 6 – </w:t>
      </w:r>
    </w:p>
    <w:p w14:paraId="37892BCD" w14:textId="0774D26C" w:rsidR="004C3AB7" w:rsidRDefault="00514FB9" w:rsidP="00297428">
      <w:pPr>
        <w:pStyle w:val="GvdeMetni"/>
        <w:ind w:left="968" w:right="597"/>
      </w:pPr>
      <w:r>
        <w:t xml:space="preserve">(1)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24621810" w14:textId="77777777" w:rsidR="004C3AB7" w:rsidRDefault="004C3AB7" w:rsidP="00297428">
      <w:pPr>
        <w:pStyle w:val="GvdeMetni"/>
        <w:spacing w:before="1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28"/>
      </w:tblGrid>
      <w:tr w:rsidR="004C3AB7" w14:paraId="50191DD4" w14:textId="77777777">
        <w:trPr>
          <w:trHeight w:val="480"/>
        </w:trPr>
        <w:tc>
          <w:tcPr>
            <w:tcW w:w="2977" w:type="dxa"/>
          </w:tcPr>
          <w:p w14:paraId="6241E751" w14:textId="77777777" w:rsidR="004C3AB7" w:rsidRDefault="00514FB9" w:rsidP="00297428">
            <w:pPr>
              <w:pStyle w:val="P68B1DB1-TableParagraph3"/>
              <w:spacing w:line="251" w:lineRule="exact"/>
              <w:ind w:left="189"/>
              <w:jc w:val="left"/>
            </w:pPr>
            <w:proofErr w:type="spellStart"/>
            <w:r>
              <w:t>Prerequisite</w:t>
            </w:r>
            <w:proofErr w:type="spellEnd"/>
            <w:r>
              <w:t xml:space="preserve"> Course</w:t>
            </w:r>
          </w:p>
        </w:tc>
        <w:tc>
          <w:tcPr>
            <w:tcW w:w="6128" w:type="dxa"/>
          </w:tcPr>
          <w:p w14:paraId="1553EF89" w14:textId="77777777" w:rsidR="004C3AB7" w:rsidRDefault="00514FB9" w:rsidP="00297428">
            <w:pPr>
              <w:pStyle w:val="P68B1DB1-TableParagraph3"/>
              <w:spacing w:line="251" w:lineRule="exact"/>
              <w:ind w:right="179"/>
              <w:jc w:val="left"/>
            </w:pPr>
            <w:r>
              <w:t>Courses</w:t>
            </w:r>
          </w:p>
        </w:tc>
      </w:tr>
      <w:tr w:rsidR="004C3AB7" w14:paraId="59B9E514" w14:textId="77777777">
        <w:trPr>
          <w:trHeight w:val="480"/>
        </w:trPr>
        <w:tc>
          <w:tcPr>
            <w:tcW w:w="2977" w:type="dxa"/>
          </w:tcPr>
          <w:p w14:paraId="6E9A3DA8" w14:textId="77777777" w:rsidR="004C3AB7" w:rsidRDefault="00514FB9" w:rsidP="00297428">
            <w:pPr>
              <w:pStyle w:val="TableParagraph"/>
              <w:ind w:left="187"/>
              <w:jc w:val="left"/>
            </w:pPr>
            <w:r>
              <w:t xml:space="preserve">General </w:t>
            </w:r>
            <w:proofErr w:type="spellStart"/>
            <w:r>
              <w:t>Chemistry</w:t>
            </w:r>
            <w:proofErr w:type="spellEnd"/>
          </w:p>
        </w:tc>
        <w:tc>
          <w:tcPr>
            <w:tcW w:w="6128" w:type="dxa"/>
          </w:tcPr>
          <w:p w14:paraId="2E3C4899" w14:textId="77777777" w:rsidR="004C3AB7" w:rsidRDefault="00514FB9" w:rsidP="00297428">
            <w:pPr>
              <w:pStyle w:val="TableParagraph"/>
              <w:ind w:right="182"/>
              <w:jc w:val="left"/>
            </w:pPr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I, </w:t>
            </w: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I, </w:t>
            </w: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I</w:t>
            </w:r>
          </w:p>
        </w:tc>
      </w:tr>
      <w:tr w:rsidR="004C3AB7" w14:paraId="78BC0CBA" w14:textId="77777777">
        <w:trPr>
          <w:trHeight w:val="480"/>
        </w:trPr>
        <w:tc>
          <w:tcPr>
            <w:tcW w:w="2977" w:type="dxa"/>
          </w:tcPr>
          <w:p w14:paraId="4B9625C1" w14:textId="77777777" w:rsidR="004C3AB7" w:rsidRDefault="00514FB9" w:rsidP="00297428">
            <w:pPr>
              <w:pStyle w:val="TableParagraph"/>
              <w:ind w:left="186"/>
              <w:jc w:val="left"/>
            </w:pP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II</w:t>
            </w:r>
          </w:p>
        </w:tc>
        <w:tc>
          <w:tcPr>
            <w:tcW w:w="6128" w:type="dxa"/>
          </w:tcPr>
          <w:p w14:paraId="5A332FC2" w14:textId="77777777" w:rsidR="004C3AB7" w:rsidRDefault="00514FB9" w:rsidP="00297428">
            <w:pPr>
              <w:pStyle w:val="TableParagraph"/>
              <w:ind w:right="182"/>
              <w:jc w:val="left"/>
            </w:pP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I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I</w:t>
            </w:r>
          </w:p>
        </w:tc>
      </w:tr>
      <w:tr w:rsidR="004C3AB7" w14:paraId="1B72745A" w14:textId="77777777">
        <w:trPr>
          <w:trHeight w:val="480"/>
        </w:trPr>
        <w:tc>
          <w:tcPr>
            <w:tcW w:w="2977" w:type="dxa"/>
          </w:tcPr>
          <w:p w14:paraId="614120F2" w14:textId="77777777" w:rsidR="004C3AB7" w:rsidRDefault="00514FB9" w:rsidP="00297428">
            <w:pPr>
              <w:pStyle w:val="TableParagraph"/>
              <w:spacing w:line="249" w:lineRule="exact"/>
              <w:ind w:left="189"/>
              <w:jc w:val="left"/>
            </w:pP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II</w:t>
            </w:r>
          </w:p>
        </w:tc>
        <w:tc>
          <w:tcPr>
            <w:tcW w:w="6128" w:type="dxa"/>
          </w:tcPr>
          <w:p w14:paraId="1A99DAFA" w14:textId="77777777" w:rsidR="004C3AB7" w:rsidRDefault="00514FB9" w:rsidP="00297428">
            <w:pPr>
              <w:pStyle w:val="TableParagraph"/>
              <w:spacing w:line="249" w:lineRule="exact"/>
              <w:ind w:right="182"/>
              <w:jc w:val="left"/>
            </w:pP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I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I</w:t>
            </w:r>
          </w:p>
        </w:tc>
      </w:tr>
      <w:tr w:rsidR="004C3AB7" w14:paraId="7CD8FA2B" w14:textId="77777777">
        <w:trPr>
          <w:trHeight w:val="480"/>
        </w:trPr>
        <w:tc>
          <w:tcPr>
            <w:tcW w:w="2977" w:type="dxa"/>
          </w:tcPr>
          <w:p w14:paraId="10E657C5" w14:textId="77777777" w:rsidR="004C3AB7" w:rsidRDefault="00514FB9" w:rsidP="00297428">
            <w:pPr>
              <w:pStyle w:val="TableParagraph"/>
              <w:ind w:left="186"/>
              <w:jc w:val="left"/>
            </w:pPr>
            <w:r>
              <w:t>ORGANIC CHEMISTRY II</w:t>
            </w:r>
          </w:p>
        </w:tc>
        <w:tc>
          <w:tcPr>
            <w:tcW w:w="6128" w:type="dxa"/>
          </w:tcPr>
          <w:p w14:paraId="6FC1E772" w14:textId="77777777" w:rsidR="004C3AB7" w:rsidRDefault="00514FB9" w:rsidP="00297428">
            <w:pPr>
              <w:pStyle w:val="TableParagraph"/>
              <w:ind w:right="182"/>
              <w:jc w:val="left"/>
            </w:pPr>
            <w:proofErr w:type="spellStart"/>
            <w:r>
              <w:t>Biochemistry</w:t>
            </w:r>
            <w:proofErr w:type="spellEnd"/>
            <w:r>
              <w:t xml:space="preserve">,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I,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I</w:t>
            </w:r>
          </w:p>
        </w:tc>
      </w:tr>
      <w:tr w:rsidR="004C3AB7" w14:paraId="0BC60703" w14:textId="77777777">
        <w:trPr>
          <w:trHeight w:val="480"/>
        </w:trPr>
        <w:tc>
          <w:tcPr>
            <w:tcW w:w="2977" w:type="dxa"/>
          </w:tcPr>
          <w:p w14:paraId="2B024A45" w14:textId="77777777" w:rsidR="004C3AB7" w:rsidRDefault="00514FB9" w:rsidP="00297428">
            <w:pPr>
              <w:pStyle w:val="TableParagraph"/>
              <w:ind w:left="187"/>
              <w:jc w:val="left"/>
            </w:pPr>
            <w:proofErr w:type="spellStart"/>
            <w:r>
              <w:t>Biochemistry</w:t>
            </w:r>
            <w:proofErr w:type="spellEnd"/>
          </w:p>
        </w:tc>
        <w:tc>
          <w:tcPr>
            <w:tcW w:w="6128" w:type="dxa"/>
          </w:tcPr>
          <w:p w14:paraId="11E7FC48" w14:textId="77777777" w:rsidR="004C3AB7" w:rsidRDefault="00514FB9" w:rsidP="00297428">
            <w:pPr>
              <w:pStyle w:val="TableParagraph"/>
              <w:ind w:right="182"/>
              <w:jc w:val="left"/>
            </w:pP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Biochemistry</w:t>
            </w:r>
            <w:proofErr w:type="spellEnd"/>
          </w:p>
        </w:tc>
      </w:tr>
      <w:tr w:rsidR="004C3AB7" w14:paraId="5DA904AA" w14:textId="77777777">
        <w:trPr>
          <w:trHeight w:val="780"/>
        </w:trPr>
        <w:tc>
          <w:tcPr>
            <w:tcW w:w="2977" w:type="dxa"/>
          </w:tcPr>
          <w:p w14:paraId="4707C20D" w14:textId="77777777" w:rsidR="004C3AB7" w:rsidRDefault="00514FB9" w:rsidP="00C57623">
            <w:pPr>
              <w:pStyle w:val="TableParagraph"/>
              <w:spacing w:line="276" w:lineRule="auto"/>
              <w:ind w:left="126" w:right="0"/>
              <w:jc w:val="left"/>
            </w:pP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Botany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Botany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  <w:tc>
          <w:tcPr>
            <w:tcW w:w="6128" w:type="dxa"/>
          </w:tcPr>
          <w:p w14:paraId="0FAC3CE6" w14:textId="77777777" w:rsidR="004C3AB7" w:rsidRDefault="00514FB9" w:rsidP="00297428">
            <w:pPr>
              <w:pStyle w:val="TableParagraph"/>
              <w:spacing w:before="137" w:line="240" w:lineRule="auto"/>
              <w:ind w:right="179"/>
              <w:jc w:val="left"/>
            </w:pPr>
            <w:proofErr w:type="spellStart"/>
            <w:r>
              <w:t>Pharmacognosy</w:t>
            </w:r>
            <w:proofErr w:type="spellEnd"/>
            <w:r>
              <w:t xml:space="preserve"> I, </w:t>
            </w:r>
            <w:proofErr w:type="spellStart"/>
            <w:r>
              <w:t>Pharmacognosy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I</w:t>
            </w:r>
          </w:p>
        </w:tc>
      </w:tr>
      <w:tr w:rsidR="004C3AB7" w14:paraId="7F5153A8" w14:textId="77777777">
        <w:trPr>
          <w:trHeight w:val="480"/>
        </w:trPr>
        <w:tc>
          <w:tcPr>
            <w:tcW w:w="2977" w:type="dxa"/>
          </w:tcPr>
          <w:p w14:paraId="3824E80B" w14:textId="77777777" w:rsidR="004C3AB7" w:rsidRDefault="00514FB9" w:rsidP="00297428">
            <w:pPr>
              <w:pStyle w:val="TableParagraph"/>
              <w:ind w:left="189"/>
              <w:jc w:val="left"/>
            </w:pPr>
            <w:proofErr w:type="spellStart"/>
            <w:r>
              <w:t>Pharmacognosy</w:t>
            </w:r>
            <w:proofErr w:type="spellEnd"/>
            <w:r>
              <w:t xml:space="preserve"> III</w:t>
            </w:r>
          </w:p>
        </w:tc>
        <w:tc>
          <w:tcPr>
            <w:tcW w:w="6128" w:type="dxa"/>
          </w:tcPr>
          <w:p w14:paraId="7AE6B241" w14:textId="77777777" w:rsidR="004C3AB7" w:rsidRDefault="00514FB9" w:rsidP="00297428">
            <w:pPr>
              <w:pStyle w:val="TableParagraph"/>
              <w:ind w:right="179"/>
              <w:jc w:val="left"/>
            </w:pPr>
            <w:proofErr w:type="spellStart"/>
            <w:r>
              <w:t>Phytotherapeutics</w:t>
            </w:r>
            <w:proofErr w:type="spellEnd"/>
          </w:p>
        </w:tc>
      </w:tr>
      <w:tr w:rsidR="004C3AB7" w14:paraId="2E81F7DE" w14:textId="77777777">
        <w:trPr>
          <w:trHeight w:val="480"/>
        </w:trPr>
        <w:tc>
          <w:tcPr>
            <w:tcW w:w="2977" w:type="dxa"/>
          </w:tcPr>
          <w:p w14:paraId="6E035189" w14:textId="77777777" w:rsidR="004C3AB7" w:rsidRDefault="00514FB9" w:rsidP="00297428">
            <w:pPr>
              <w:pStyle w:val="TableParagraph"/>
              <w:ind w:left="187"/>
              <w:jc w:val="left"/>
            </w:pPr>
            <w:proofErr w:type="spellStart"/>
            <w:r>
              <w:t>Anatomic</w:t>
            </w:r>
            <w:proofErr w:type="spellEnd"/>
          </w:p>
        </w:tc>
        <w:tc>
          <w:tcPr>
            <w:tcW w:w="6128" w:type="dxa"/>
          </w:tcPr>
          <w:p w14:paraId="105BD834" w14:textId="77777777" w:rsidR="004C3AB7" w:rsidRDefault="00514FB9" w:rsidP="00297428">
            <w:pPr>
              <w:pStyle w:val="TableParagraph"/>
              <w:ind w:right="177"/>
              <w:jc w:val="left"/>
            </w:pPr>
            <w:proofErr w:type="spellStart"/>
            <w:r>
              <w:t>Physiology</w:t>
            </w:r>
            <w:proofErr w:type="spellEnd"/>
          </w:p>
        </w:tc>
      </w:tr>
      <w:tr w:rsidR="004C3AB7" w14:paraId="00A0BF7F" w14:textId="77777777">
        <w:trPr>
          <w:trHeight w:val="480"/>
        </w:trPr>
        <w:tc>
          <w:tcPr>
            <w:tcW w:w="2977" w:type="dxa"/>
          </w:tcPr>
          <w:p w14:paraId="4B0EC33C" w14:textId="77777777" w:rsidR="004C3AB7" w:rsidRDefault="00514FB9" w:rsidP="00297428">
            <w:pPr>
              <w:pStyle w:val="TableParagraph"/>
              <w:ind w:left="189"/>
              <w:jc w:val="left"/>
            </w:pPr>
            <w:proofErr w:type="spellStart"/>
            <w:r>
              <w:t>Physiology</w:t>
            </w:r>
            <w:proofErr w:type="spellEnd"/>
          </w:p>
        </w:tc>
        <w:tc>
          <w:tcPr>
            <w:tcW w:w="6128" w:type="dxa"/>
          </w:tcPr>
          <w:p w14:paraId="1064A87F" w14:textId="77777777" w:rsidR="004C3AB7" w:rsidRDefault="00514FB9" w:rsidP="00297428">
            <w:pPr>
              <w:pStyle w:val="TableParagraph"/>
              <w:ind w:right="179"/>
              <w:jc w:val="left"/>
            </w:pPr>
            <w:proofErr w:type="spellStart"/>
            <w:r>
              <w:t>Pharmacology</w:t>
            </w:r>
            <w:proofErr w:type="spellEnd"/>
            <w:r>
              <w:t xml:space="preserve"> I</w:t>
            </w:r>
          </w:p>
        </w:tc>
      </w:tr>
      <w:tr w:rsidR="004C3AB7" w14:paraId="53258604" w14:textId="77777777">
        <w:trPr>
          <w:trHeight w:val="780"/>
        </w:trPr>
        <w:tc>
          <w:tcPr>
            <w:tcW w:w="2977" w:type="dxa"/>
          </w:tcPr>
          <w:p w14:paraId="31DF16D2" w14:textId="77777777" w:rsidR="004C3AB7" w:rsidRDefault="00514FB9" w:rsidP="00297428">
            <w:pPr>
              <w:pStyle w:val="TableParagraph"/>
              <w:spacing w:before="137" w:line="240" w:lineRule="auto"/>
              <w:ind w:left="187"/>
              <w:jc w:val="left"/>
            </w:pPr>
            <w:proofErr w:type="spellStart"/>
            <w:r>
              <w:t>Pharmacology</w:t>
            </w:r>
            <w:proofErr w:type="spellEnd"/>
            <w:r>
              <w:t xml:space="preserve"> III</w:t>
            </w:r>
          </w:p>
        </w:tc>
        <w:tc>
          <w:tcPr>
            <w:tcW w:w="6128" w:type="dxa"/>
          </w:tcPr>
          <w:p w14:paraId="567B4C28" w14:textId="77777777" w:rsidR="004C3AB7" w:rsidRDefault="00514FB9" w:rsidP="00C57623">
            <w:pPr>
              <w:pStyle w:val="TableParagraph"/>
              <w:spacing w:line="276" w:lineRule="auto"/>
              <w:ind w:right="450"/>
              <w:jc w:val="left"/>
            </w:pPr>
            <w:proofErr w:type="spellStart"/>
            <w:r>
              <w:t>Pharmacotherapy</w:t>
            </w:r>
            <w:proofErr w:type="spellEnd"/>
            <w:r>
              <w:t xml:space="preserve">, </w:t>
            </w:r>
            <w:proofErr w:type="spellStart"/>
            <w:r>
              <w:t>Toxicology</w:t>
            </w:r>
            <w:proofErr w:type="spellEnd"/>
            <w:r>
              <w:t xml:space="preserve">, </w:t>
            </w:r>
            <w:proofErr w:type="spellStart"/>
            <w:r>
              <w:t>Toxicology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,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Pharmacy</w:t>
            </w:r>
            <w:proofErr w:type="spellEnd"/>
            <w:r>
              <w:t xml:space="preserve">, </w:t>
            </w:r>
            <w:proofErr w:type="spellStart"/>
            <w:r>
              <w:t>Phytotherapeutics</w:t>
            </w:r>
            <w:proofErr w:type="spellEnd"/>
          </w:p>
        </w:tc>
      </w:tr>
    </w:tbl>
    <w:p w14:paraId="619323C3" w14:textId="77777777" w:rsidR="004C3AB7" w:rsidRDefault="004C3AB7" w:rsidP="00297428">
      <w:pPr>
        <w:pStyle w:val="GvdeMetni"/>
        <w:rPr>
          <w:sz w:val="26"/>
        </w:rPr>
      </w:pPr>
    </w:p>
    <w:p w14:paraId="64CFE7A6" w14:textId="77777777" w:rsidR="004C3AB7" w:rsidRDefault="004C3AB7" w:rsidP="00297428">
      <w:pPr>
        <w:pStyle w:val="GvdeMetni"/>
        <w:spacing w:before="4"/>
        <w:rPr>
          <w:sz w:val="21"/>
        </w:rPr>
      </w:pPr>
    </w:p>
    <w:p w14:paraId="16F6B628" w14:textId="731AD742" w:rsidR="004C3AB7" w:rsidRDefault="00514FB9" w:rsidP="00297428">
      <w:pPr>
        <w:pStyle w:val="P68B1DB1-ListParagraph2"/>
        <w:numPr>
          <w:ilvl w:val="2"/>
          <w:numId w:val="1"/>
        </w:numPr>
        <w:tabs>
          <w:tab w:val="left" w:pos="1286"/>
        </w:tabs>
        <w:ind w:left="116" w:right="154" w:firstLine="828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I, II, III </w:t>
      </w:r>
      <w:proofErr w:type="spellStart"/>
      <w:r>
        <w:t>and</w:t>
      </w:r>
      <w:proofErr w:type="spellEnd"/>
      <w:r>
        <w:t xml:space="preserve"> IV)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of </w:t>
      </w:r>
      <w:proofErr w:type="spellStart"/>
      <w:r>
        <w:t>course</w:t>
      </w:r>
      <w:r w:rsidR="00212AEA">
        <w:t>s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</w:t>
      </w:r>
      <w:proofErr w:type="spellStart"/>
      <w:r w:rsidR="00212AEA">
        <w:t>F</w:t>
      </w:r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it is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prerequisites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Courses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Board </w:t>
      </w:r>
      <w:proofErr w:type="spellStart"/>
      <w:r>
        <w:t>Decision</w:t>
      </w:r>
      <w:proofErr w:type="spellEnd"/>
      <w:r>
        <w:t>.</w:t>
      </w:r>
    </w:p>
    <w:p w14:paraId="11B6D0C2" w14:textId="77777777" w:rsidR="004C3AB7" w:rsidRDefault="004C3AB7" w:rsidP="00297428">
      <w:pPr>
        <w:rPr>
          <w:sz w:val="24"/>
        </w:rPr>
        <w:sectPr w:rsidR="004C3AB7">
          <w:pgSz w:w="11910" w:h="16840"/>
          <w:pgMar w:top="1320" w:right="1260" w:bottom="1680" w:left="1300" w:header="0" w:footer="1480" w:gutter="0"/>
          <w:cols w:space="708"/>
        </w:sectPr>
      </w:pPr>
    </w:p>
    <w:p w14:paraId="2D736D1B" w14:textId="77777777" w:rsidR="004C3AB7" w:rsidRDefault="00514FB9" w:rsidP="00443165">
      <w:pPr>
        <w:pStyle w:val="Balk1"/>
        <w:spacing w:before="74"/>
        <w:jc w:val="center"/>
      </w:pPr>
      <w:proofErr w:type="spellStart"/>
      <w:r>
        <w:lastRenderedPageBreak/>
        <w:t>Attendance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7EDF81FF" w14:textId="43A12E74" w:rsidR="00D774F3" w:rsidRDefault="00514FB9" w:rsidP="00D774F3">
      <w:pPr>
        <w:pStyle w:val="GvdeMetni"/>
        <w:ind w:right="115"/>
      </w:pPr>
      <w:r>
        <w:rPr>
          <w:b/>
        </w:rPr>
        <w:t xml:space="preserve">ARTICLE 7 –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D774F3">
        <w:t>Istanbul</w:t>
      </w:r>
      <w:proofErr w:type="spellEnd"/>
      <w:r w:rsidR="00D774F3">
        <w:t xml:space="preserve"> </w:t>
      </w:r>
      <w:proofErr w:type="spellStart"/>
      <w:r w:rsidR="00D774F3">
        <w:t>Medipol</w:t>
      </w:r>
      <w:proofErr w:type="spellEnd"/>
      <w:r w:rsidR="00D774F3">
        <w:t xml:space="preserve"> </w:t>
      </w:r>
      <w:proofErr w:type="spellStart"/>
      <w:r w:rsidR="00D774F3">
        <w:t>University</w:t>
      </w:r>
      <w:proofErr w:type="spellEnd"/>
      <w:r w:rsidR="00D774F3">
        <w:t xml:space="preserve"> </w:t>
      </w:r>
      <w:proofErr w:type="spellStart"/>
      <w:r w:rsidR="00D774F3">
        <w:t>Associate</w:t>
      </w:r>
      <w:proofErr w:type="spellEnd"/>
      <w:r w:rsidR="00D774F3">
        <w:t xml:space="preserve"> </w:t>
      </w:r>
      <w:proofErr w:type="spellStart"/>
      <w:r w:rsidR="00D774F3">
        <w:t>and</w:t>
      </w:r>
      <w:proofErr w:type="spellEnd"/>
      <w:r w:rsidR="00D774F3">
        <w:t xml:space="preserve"> </w:t>
      </w:r>
      <w:proofErr w:type="spellStart"/>
      <w:r w:rsidR="00D774F3">
        <w:t>Undergraduate</w:t>
      </w:r>
      <w:proofErr w:type="spellEnd"/>
      <w:r w:rsidR="00D774F3">
        <w:t xml:space="preserve"> </w:t>
      </w:r>
      <w:proofErr w:type="spellStart"/>
      <w:r w:rsidR="00D774F3">
        <w:t>Education</w:t>
      </w:r>
      <w:proofErr w:type="spellEnd"/>
      <w:r w:rsidR="00D774F3">
        <w:t xml:space="preserve"> </w:t>
      </w:r>
      <w:proofErr w:type="spellStart"/>
      <w:r w:rsidR="00D774F3">
        <w:t>Regulations</w:t>
      </w:r>
      <w:proofErr w:type="spellEnd"/>
      <w:r w:rsidR="00D774F3">
        <w:t>.</w:t>
      </w:r>
    </w:p>
    <w:p w14:paraId="197FE2B2" w14:textId="77777777" w:rsidR="00D774F3" w:rsidRPr="00D774F3" w:rsidRDefault="00D774F3" w:rsidP="00D774F3">
      <w:pPr>
        <w:pStyle w:val="GvdeMetni"/>
        <w:ind w:right="115"/>
      </w:pPr>
    </w:p>
    <w:p w14:paraId="17CD5806" w14:textId="7C48378C" w:rsidR="004C3AB7" w:rsidRPr="00D774F3" w:rsidRDefault="00514FB9" w:rsidP="00443165">
      <w:pPr>
        <w:pStyle w:val="GvdeMetni"/>
        <w:ind w:right="115"/>
        <w:jc w:val="center"/>
        <w:rPr>
          <w:b/>
          <w:bCs/>
        </w:rPr>
      </w:pPr>
      <w:proofErr w:type="spellStart"/>
      <w:r w:rsidRPr="00D774F3">
        <w:rPr>
          <w:b/>
          <w:bCs/>
        </w:rPr>
        <w:t>Calculation</w:t>
      </w:r>
      <w:proofErr w:type="spellEnd"/>
      <w:r w:rsidRPr="00D774F3">
        <w:rPr>
          <w:b/>
          <w:bCs/>
        </w:rPr>
        <w:t xml:space="preserve"> of </w:t>
      </w:r>
      <w:proofErr w:type="spellStart"/>
      <w:r w:rsidRPr="00D774F3">
        <w:rPr>
          <w:b/>
          <w:bCs/>
        </w:rPr>
        <w:t>Success</w:t>
      </w:r>
      <w:proofErr w:type="spellEnd"/>
      <w:r w:rsidRPr="00D774F3">
        <w:rPr>
          <w:b/>
          <w:bCs/>
        </w:rPr>
        <w:t xml:space="preserve"> </w:t>
      </w:r>
      <w:proofErr w:type="spellStart"/>
      <w:r w:rsidRPr="00D774F3">
        <w:rPr>
          <w:b/>
          <w:bCs/>
        </w:rPr>
        <w:t>Score</w:t>
      </w:r>
      <w:proofErr w:type="spellEnd"/>
    </w:p>
    <w:p w14:paraId="3BB69BEC" w14:textId="5FCA2423" w:rsidR="004C3AB7" w:rsidRPr="00D774F3" w:rsidRDefault="00514FB9" w:rsidP="00D774F3">
      <w:pPr>
        <w:pStyle w:val="GvdeMetni"/>
        <w:ind w:left="116" w:right="114" w:firstLine="851"/>
        <w:rPr>
          <w:b/>
        </w:rPr>
      </w:pPr>
      <w:r>
        <w:rPr>
          <w:b/>
        </w:rPr>
        <w:t xml:space="preserve">ARTICLE 8 – </w:t>
      </w:r>
      <w:r>
        <w:t xml:space="preserve">(1) Course </w:t>
      </w:r>
      <w:proofErr w:type="spellStart"/>
      <w:r>
        <w:t>Success</w:t>
      </w:r>
      <w:proofErr w:type="spellEnd"/>
      <w:r>
        <w:t xml:space="preserve"> Grade is at </w:t>
      </w:r>
      <w:proofErr w:type="spellStart"/>
      <w:r>
        <w:t>least</w:t>
      </w:r>
      <w:proofErr w:type="spellEnd"/>
      <w:r>
        <w:t xml:space="preserve"> 60 </w:t>
      </w:r>
      <w:proofErr w:type="spellStart"/>
      <w:r>
        <w:t>out</w:t>
      </w:r>
      <w:proofErr w:type="spellEnd"/>
      <w:r>
        <w:t xml:space="preserve"> of 100 </w:t>
      </w:r>
      <w:proofErr w:type="spellStart"/>
      <w:r>
        <w:t>points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40%,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is 60%;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is 60%,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is 40%.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get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50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678879FC" w14:textId="77777777" w:rsidR="004C3AB7" w:rsidRDefault="004C3AB7" w:rsidP="00297428">
      <w:pPr>
        <w:pStyle w:val="GvdeMetni"/>
        <w:spacing w:before="7"/>
      </w:pPr>
    </w:p>
    <w:p w14:paraId="79BC9CCC" w14:textId="77777777" w:rsidR="004C3AB7" w:rsidRDefault="00514FB9" w:rsidP="00443165">
      <w:pPr>
        <w:pStyle w:val="Balk1"/>
        <w:ind w:left="1028"/>
        <w:jc w:val="center"/>
      </w:pPr>
      <w:r>
        <w:t>Diploma</w:t>
      </w:r>
    </w:p>
    <w:p w14:paraId="53D83FA9" w14:textId="44CB7A40" w:rsidR="004C3AB7" w:rsidRPr="00D774F3" w:rsidRDefault="00514FB9" w:rsidP="00D774F3">
      <w:pPr>
        <w:pStyle w:val="GvdeMetni"/>
        <w:ind w:left="116" w:right="113" w:firstLine="851"/>
        <w:rPr>
          <w:b/>
        </w:rPr>
      </w:pPr>
      <w:r>
        <w:rPr>
          <w:b/>
        </w:rPr>
        <w:t xml:space="preserve">ARTICLE 9 – </w:t>
      </w:r>
      <w:r>
        <w:t xml:space="preserve">(1)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five-year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Program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Diploma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Pharmacist</w:t>
      </w:r>
      <w:proofErr w:type="spellEnd"/>
      <w:r>
        <w:t>.</w:t>
      </w:r>
    </w:p>
    <w:p w14:paraId="2A0F127C" w14:textId="77777777" w:rsidR="004C3AB7" w:rsidRDefault="004C3AB7" w:rsidP="00297428">
      <w:pPr>
        <w:pStyle w:val="GvdeMetni"/>
        <w:spacing w:before="7"/>
      </w:pPr>
    </w:p>
    <w:p w14:paraId="1F44DB97" w14:textId="54401245" w:rsidR="004C3AB7" w:rsidRDefault="00514FB9" w:rsidP="00443165">
      <w:pPr>
        <w:pStyle w:val="Balk1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 w:rsidR="00443165">
        <w:t>P</w:t>
      </w:r>
      <w:r>
        <w:t>rovisions</w:t>
      </w:r>
      <w:proofErr w:type="spellEnd"/>
    </w:p>
    <w:p w14:paraId="2FA900B4" w14:textId="25382EBD" w:rsidR="004C3AB7" w:rsidRPr="00D774F3" w:rsidRDefault="00514FB9" w:rsidP="00D774F3">
      <w:pPr>
        <w:pStyle w:val="GvdeMetni"/>
        <w:ind w:left="116" w:right="114" w:firstLine="851"/>
        <w:rPr>
          <w:b/>
        </w:rPr>
      </w:pPr>
      <w:r>
        <w:rPr>
          <w:b/>
        </w:rPr>
        <w:t xml:space="preserve">ARTICLE 10 </w:t>
      </w:r>
      <w:proofErr w:type="gramStart"/>
      <w:r>
        <w:rPr>
          <w:b/>
        </w:rPr>
        <w:t>–</w:t>
      </w:r>
      <w:r>
        <w:t>(</w:t>
      </w:r>
      <w:proofErr w:type="gramEnd"/>
      <w:r>
        <w:t xml:space="preserve">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C57623">
        <w:t>i</w:t>
      </w:r>
      <w:r>
        <w:t>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018CD2DC" w14:textId="77777777" w:rsidR="004C3AB7" w:rsidRDefault="004C3AB7" w:rsidP="00297428">
      <w:pPr>
        <w:pStyle w:val="GvdeMetni"/>
        <w:spacing w:before="7"/>
      </w:pPr>
    </w:p>
    <w:p w14:paraId="1281F0C1" w14:textId="77777777" w:rsidR="004C3AB7" w:rsidRDefault="00514FB9" w:rsidP="00443165">
      <w:pPr>
        <w:pStyle w:val="Balk1"/>
        <w:jc w:val="center"/>
      </w:pPr>
      <w:proofErr w:type="spellStart"/>
      <w:r>
        <w:t>Enforcement</w:t>
      </w:r>
      <w:proofErr w:type="spellEnd"/>
    </w:p>
    <w:p w14:paraId="1DFDE3C0" w14:textId="06471DA5" w:rsidR="004C3AB7" w:rsidRDefault="00514FB9" w:rsidP="00D774F3">
      <w:pPr>
        <w:pStyle w:val="GvdeMetni"/>
        <w:ind w:left="116" w:right="113" w:firstLine="851"/>
      </w:pPr>
      <w:r>
        <w:rPr>
          <w:b/>
        </w:rPr>
        <w:t xml:space="preserve">ARTICLE 11 </w:t>
      </w:r>
      <w:r>
        <w:t xml:space="preserve">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2014-2015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31.11.2010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2010/</w:t>
      </w:r>
      <w:proofErr w:type="gramStart"/>
      <w:r>
        <w:t>4 -</w:t>
      </w:r>
      <w:proofErr w:type="gramEnd"/>
      <w:r>
        <w:t xml:space="preserve"> 4,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repealed</w:t>
      </w:r>
      <w:proofErr w:type="spellEnd"/>
      <w:r>
        <w:t>.</w:t>
      </w:r>
    </w:p>
    <w:p w14:paraId="3016EE3E" w14:textId="77777777" w:rsidR="004C3AB7" w:rsidRDefault="004C3AB7" w:rsidP="00297428">
      <w:pPr>
        <w:pStyle w:val="GvdeMetni"/>
        <w:spacing w:before="7"/>
      </w:pPr>
    </w:p>
    <w:p w14:paraId="7ABE862B" w14:textId="77777777" w:rsidR="004C3AB7" w:rsidRDefault="00514FB9" w:rsidP="00443165">
      <w:pPr>
        <w:pStyle w:val="Balk1"/>
        <w:spacing w:before="1"/>
        <w:jc w:val="center"/>
      </w:pPr>
      <w:proofErr w:type="spellStart"/>
      <w:r>
        <w:t>Execution</w:t>
      </w:r>
      <w:proofErr w:type="spellEnd"/>
    </w:p>
    <w:p w14:paraId="7A2E064F" w14:textId="30352C54" w:rsidR="004C3AB7" w:rsidRPr="00D774F3" w:rsidRDefault="00514FB9" w:rsidP="00D774F3">
      <w:pPr>
        <w:pStyle w:val="GvdeMetni"/>
        <w:ind w:left="116" w:right="114" w:firstLine="851"/>
        <w:rPr>
          <w:b/>
        </w:rPr>
      </w:pPr>
      <w:r>
        <w:rPr>
          <w:b/>
        </w:rPr>
        <w:t xml:space="preserve">ARTICLE 12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Pharmacy</w:t>
      </w:r>
      <w:proofErr w:type="spellEnd"/>
      <w:r>
        <w:t>.</w:t>
      </w:r>
    </w:p>
    <w:p w14:paraId="52B4EF79" w14:textId="77777777" w:rsidR="004C3AB7" w:rsidRDefault="004C3AB7" w:rsidP="00297428">
      <w:pPr>
        <w:pStyle w:val="GvdeMetni"/>
        <w:spacing w:before="5"/>
        <w:rPr>
          <w:sz w:val="36"/>
        </w:rPr>
      </w:pPr>
    </w:p>
    <w:p w14:paraId="0253C8A8" w14:textId="77777777" w:rsidR="004C3AB7" w:rsidRDefault="00514FB9" w:rsidP="00297428">
      <w:pPr>
        <w:pStyle w:val="GvdeMetni"/>
        <w:spacing w:before="1"/>
        <w:ind w:left="116"/>
      </w:pPr>
      <w:r>
        <w:t>*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dated</w:t>
      </w:r>
      <w:proofErr w:type="spellEnd"/>
      <w:r>
        <w:t xml:space="preserve"> 17/02/2015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2015/07-03.</w:t>
      </w:r>
    </w:p>
    <w:sectPr w:rsidR="004C3AB7">
      <w:pgSz w:w="11910" w:h="16840"/>
      <w:pgMar w:top="1320" w:right="1300" w:bottom="1680" w:left="1300" w:header="0" w:footer="1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A68C" w14:textId="77777777" w:rsidR="00AB63C1" w:rsidRDefault="00AB63C1">
      <w:r>
        <w:separator/>
      </w:r>
    </w:p>
  </w:endnote>
  <w:endnote w:type="continuationSeparator" w:id="0">
    <w:p w14:paraId="7E57BD75" w14:textId="77777777" w:rsidR="00AB63C1" w:rsidRDefault="00A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152" w14:textId="77777777" w:rsidR="004C3AB7" w:rsidRDefault="00557856">
    <w:pPr>
      <w:pStyle w:val="GvdeMetni"/>
      <w:spacing w:line="14" w:lineRule="auto"/>
      <w:rPr>
        <w:sz w:val="20"/>
      </w:rPr>
    </w:pPr>
    <w:r>
      <w:pict w14:anchorId="5D7821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56.9pt;width:9.6pt;height:13.05pt;z-index:-251658752;mso-position-horizontal-relative:page;mso-position-vertical-relative:page" filled="f" stroked="f">
          <v:textbox inset="0,0,0,0">
            <w:txbxContent>
              <w:p w14:paraId="0B1C7318" w14:textId="77777777" w:rsidR="004C3AB7" w:rsidRDefault="00514FB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56A1" w14:textId="77777777" w:rsidR="00AB63C1" w:rsidRDefault="00AB63C1">
      <w:r>
        <w:separator/>
      </w:r>
    </w:p>
  </w:footnote>
  <w:footnote w:type="continuationSeparator" w:id="0">
    <w:p w14:paraId="32BD5C95" w14:textId="77777777" w:rsidR="00AB63C1" w:rsidRDefault="00AB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6F0"/>
    <w:multiLevelType w:val="hybridMultilevel"/>
    <w:tmpl w:val="441EC500"/>
    <w:lvl w:ilvl="0" w:tplc="E7462C8C">
      <w:start w:val="1"/>
      <w:numFmt w:val="decimal"/>
      <w:lvlText w:val="(%1)"/>
      <w:lvlJc w:val="left"/>
      <w:pPr>
        <w:ind w:left="13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7" w:hanging="360"/>
      </w:pPr>
    </w:lvl>
    <w:lvl w:ilvl="2" w:tplc="041F001B" w:tentative="1">
      <w:start w:val="1"/>
      <w:numFmt w:val="lowerRoman"/>
      <w:lvlText w:val="%3."/>
      <w:lvlJc w:val="right"/>
      <w:pPr>
        <w:ind w:left="2767" w:hanging="180"/>
      </w:pPr>
    </w:lvl>
    <w:lvl w:ilvl="3" w:tplc="041F000F" w:tentative="1">
      <w:start w:val="1"/>
      <w:numFmt w:val="decimal"/>
      <w:lvlText w:val="%4."/>
      <w:lvlJc w:val="left"/>
      <w:pPr>
        <w:ind w:left="3487" w:hanging="360"/>
      </w:pPr>
    </w:lvl>
    <w:lvl w:ilvl="4" w:tplc="041F0019" w:tentative="1">
      <w:start w:val="1"/>
      <w:numFmt w:val="lowerLetter"/>
      <w:lvlText w:val="%5."/>
      <w:lvlJc w:val="left"/>
      <w:pPr>
        <w:ind w:left="4207" w:hanging="360"/>
      </w:pPr>
    </w:lvl>
    <w:lvl w:ilvl="5" w:tplc="041F001B" w:tentative="1">
      <w:start w:val="1"/>
      <w:numFmt w:val="lowerRoman"/>
      <w:lvlText w:val="%6."/>
      <w:lvlJc w:val="right"/>
      <w:pPr>
        <w:ind w:left="4927" w:hanging="180"/>
      </w:pPr>
    </w:lvl>
    <w:lvl w:ilvl="6" w:tplc="041F000F" w:tentative="1">
      <w:start w:val="1"/>
      <w:numFmt w:val="decimal"/>
      <w:lvlText w:val="%7."/>
      <w:lvlJc w:val="left"/>
      <w:pPr>
        <w:ind w:left="5647" w:hanging="360"/>
      </w:pPr>
    </w:lvl>
    <w:lvl w:ilvl="7" w:tplc="041F0019" w:tentative="1">
      <w:start w:val="1"/>
      <w:numFmt w:val="lowerLetter"/>
      <w:lvlText w:val="%8."/>
      <w:lvlJc w:val="left"/>
      <w:pPr>
        <w:ind w:left="6367" w:hanging="360"/>
      </w:pPr>
    </w:lvl>
    <w:lvl w:ilvl="8" w:tplc="041F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" w15:restartNumberingAfterBreak="0">
    <w:nsid w:val="30E62BBE"/>
    <w:multiLevelType w:val="hybridMultilevel"/>
    <w:tmpl w:val="90301466"/>
    <w:lvl w:ilvl="0" w:tplc="EEBC34A0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1C73B4">
      <w:numFmt w:val="bullet"/>
      <w:lvlText w:val="•"/>
      <w:lvlJc w:val="left"/>
      <w:pPr>
        <w:ind w:left="1038" w:hanging="339"/>
      </w:pPr>
      <w:rPr>
        <w:rFonts w:hint="default"/>
      </w:rPr>
    </w:lvl>
    <w:lvl w:ilvl="2" w:tplc="3B6295B4">
      <w:numFmt w:val="bullet"/>
      <w:lvlText w:val="•"/>
      <w:lvlJc w:val="left"/>
      <w:pPr>
        <w:ind w:left="1957" w:hanging="339"/>
      </w:pPr>
      <w:rPr>
        <w:rFonts w:hint="default"/>
      </w:rPr>
    </w:lvl>
    <w:lvl w:ilvl="3" w:tplc="A2E0E2F4">
      <w:numFmt w:val="bullet"/>
      <w:lvlText w:val="•"/>
      <w:lvlJc w:val="left"/>
      <w:pPr>
        <w:ind w:left="2875" w:hanging="339"/>
      </w:pPr>
      <w:rPr>
        <w:rFonts w:hint="default"/>
      </w:rPr>
    </w:lvl>
    <w:lvl w:ilvl="4" w:tplc="2EF002E6">
      <w:numFmt w:val="bullet"/>
      <w:lvlText w:val="•"/>
      <w:lvlJc w:val="left"/>
      <w:pPr>
        <w:ind w:left="3794" w:hanging="339"/>
      </w:pPr>
      <w:rPr>
        <w:rFonts w:hint="default"/>
      </w:rPr>
    </w:lvl>
    <w:lvl w:ilvl="5" w:tplc="9AAAE22A">
      <w:numFmt w:val="bullet"/>
      <w:lvlText w:val="•"/>
      <w:lvlJc w:val="left"/>
      <w:pPr>
        <w:ind w:left="4713" w:hanging="339"/>
      </w:pPr>
      <w:rPr>
        <w:rFonts w:hint="default"/>
      </w:rPr>
    </w:lvl>
    <w:lvl w:ilvl="6" w:tplc="0FCC7E04">
      <w:numFmt w:val="bullet"/>
      <w:lvlText w:val="•"/>
      <w:lvlJc w:val="left"/>
      <w:pPr>
        <w:ind w:left="5631" w:hanging="339"/>
      </w:pPr>
      <w:rPr>
        <w:rFonts w:hint="default"/>
      </w:rPr>
    </w:lvl>
    <w:lvl w:ilvl="7" w:tplc="D8C23C7A">
      <w:numFmt w:val="bullet"/>
      <w:lvlText w:val="•"/>
      <w:lvlJc w:val="left"/>
      <w:pPr>
        <w:ind w:left="6550" w:hanging="339"/>
      </w:pPr>
      <w:rPr>
        <w:rFonts w:hint="default"/>
      </w:rPr>
    </w:lvl>
    <w:lvl w:ilvl="8" w:tplc="9274D6A2">
      <w:numFmt w:val="bullet"/>
      <w:lvlText w:val="•"/>
      <w:lvlJc w:val="left"/>
      <w:pPr>
        <w:ind w:left="7469" w:hanging="339"/>
      </w:pPr>
      <w:rPr>
        <w:rFonts w:hint="default"/>
      </w:rPr>
    </w:lvl>
  </w:abstractNum>
  <w:abstractNum w:abstractNumId="2" w15:restartNumberingAfterBreak="0">
    <w:nsid w:val="38891EFC"/>
    <w:multiLevelType w:val="hybridMultilevel"/>
    <w:tmpl w:val="AAD8971A"/>
    <w:lvl w:ilvl="0" w:tplc="50A2CF4E">
      <w:start w:val="2"/>
      <w:numFmt w:val="decimal"/>
      <w:lvlText w:val="(%1)"/>
      <w:lvlJc w:val="left"/>
      <w:pPr>
        <w:ind w:left="1306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CA435CC">
      <w:start w:val="1"/>
      <w:numFmt w:val="lowerLetter"/>
      <w:lvlText w:val="(%2)"/>
      <w:lvlJc w:val="left"/>
      <w:pPr>
        <w:ind w:left="1328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60703D2A">
      <w:start w:val="1"/>
      <w:numFmt w:val="decimal"/>
      <w:lvlText w:val="(%3)"/>
      <w:lvlJc w:val="left"/>
      <w:pPr>
        <w:ind w:left="168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EDA44864"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A1A00F4E"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9F562A9C"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08806AC2">
      <w:numFmt w:val="bullet"/>
      <w:lvlText w:val="•"/>
      <w:lvlJc w:val="left"/>
      <w:pPr>
        <w:ind w:left="5493" w:hanging="360"/>
      </w:pPr>
      <w:rPr>
        <w:rFonts w:hint="default"/>
      </w:rPr>
    </w:lvl>
    <w:lvl w:ilvl="7" w:tplc="0A2EE07E">
      <w:numFmt w:val="bullet"/>
      <w:lvlText w:val="•"/>
      <w:lvlJc w:val="left"/>
      <w:pPr>
        <w:ind w:left="6446" w:hanging="360"/>
      </w:pPr>
      <w:rPr>
        <w:rFonts w:hint="default"/>
      </w:rPr>
    </w:lvl>
    <w:lvl w:ilvl="8" w:tplc="D668E90E">
      <w:numFmt w:val="bullet"/>
      <w:lvlText w:val="•"/>
      <w:lvlJc w:val="left"/>
      <w:pPr>
        <w:ind w:left="739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sjQzMzExtTA2MDJW0lEKTi0uzszPAykwrQUA6HOo1ywAAAA="/>
  </w:docVars>
  <w:rsids>
    <w:rsidRoot w:val="004C3AB7"/>
    <w:rsid w:val="000B2773"/>
    <w:rsid w:val="00212AEA"/>
    <w:rsid w:val="00297428"/>
    <w:rsid w:val="003670A8"/>
    <w:rsid w:val="00373CCA"/>
    <w:rsid w:val="00443165"/>
    <w:rsid w:val="004C3AB7"/>
    <w:rsid w:val="00514FB9"/>
    <w:rsid w:val="00557856"/>
    <w:rsid w:val="00AB63C1"/>
    <w:rsid w:val="00C57623"/>
    <w:rsid w:val="00D774F3"/>
    <w:rsid w:val="00D81DBE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67FC98"/>
  <w15:docId w15:val="{36020BBD-2112-4824-9CB3-C9D62B1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74" w:lineRule="exact"/>
      <w:ind w:left="968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16" w:right="113" w:hanging="360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82" w:right="189"/>
      <w:jc w:val="center"/>
    </w:pPr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Paragraph2">
    <w:name w:val="P68B1DB1-ListParagraph2"/>
    <w:basedOn w:val="ListeParagraf"/>
    <w:rPr>
      <w:sz w:val="24"/>
    </w:rPr>
  </w:style>
  <w:style w:type="paragraph" w:customStyle="1" w:styleId="P68B1DB1-TableParagraph3">
    <w:name w:val="P68B1DB1-TableParagraph3"/>
    <w:basedOn w:val="TableParagraph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Şebnem GÜNGÖR</cp:lastModifiedBy>
  <cp:revision>2</cp:revision>
  <dcterms:created xsi:type="dcterms:W3CDTF">2021-10-20T09:13:00Z</dcterms:created>
  <dcterms:modified xsi:type="dcterms:W3CDTF">2021-10-20T09:13:00Z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2021-06-10T00:00:00Z</vt:filetime>
  </property>
</Properties>
</file>