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E837F" w14:textId="77777777" w:rsidR="005C1169" w:rsidRDefault="00FE2DDE" w:rsidP="00C26D78">
      <w:pPr>
        <w:pStyle w:val="Balk1"/>
        <w:spacing w:before="74" w:line="360" w:lineRule="auto"/>
        <w:ind w:left="1335" w:right="1335"/>
        <w:jc w:val="center"/>
      </w:pPr>
      <w:r>
        <w:t>T.C.</w:t>
      </w:r>
    </w:p>
    <w:p w14:paraId="4FA75ADB" w14:textId="77777777" w:rsidR="005C1169" w:rsidRDefault="00FE2DDE" w:rsidP="00C26D78">
      <w:pPr>
        <w:pStyle w:val="P68B1DB1-Normal1"/>
        <w:spacing w:line="360" w:lineRule="auto"/>
        <w:ind w:left="1335" w:right="1335"/>
        <w:jc w:val="center"/>
      </w:pPr>
      <w:r>
        <w:t>ISTANBUL MEDIPOL UNIVERSITY</w:t>
      </w:r>
    </w:p>
    <w:p w14:paraId="77CB4B99" w14:textId="77777777" w:rsidR="00842FB5" w:rsidRDefault="00FE2DDE" w:rsidP="00C26D78">
      <w:pPr>
        <w:pStyle w:val="P68B1DB1-Normal1"/>
        <w:spacing w:line="360" w:lineRule="auto"/>
        <w:ind w:left="1335" w:right="1340"/>
        <w:jc w:val="center"/>
      </w:pPr>
      <w:r>
        <w:t>SCHOOL OF LAW</w:t>
      </w:r>
    </w:p>
    <w:p w14:paraId="6255547B" w14:textId="7728DF8F" w:rsidR="005C1169" w:rsidRDefault="00FE2DDE" w:rsidP="00C26D78">
      <w:pPr>
        <w:pStyle w:val="P68B1DB1-Normal1"/>
        <w:spacing w:line="360" w:lineRule="auto"/>
        <w:ind w:left="1335" w:right="1340"/>
        <w:jc w:val="center"/>
      </w:pPr>
      <w:r>
        <w:t>EDU</w:t>
      </w:r>
      <w:r w:rsidR="00FD74D8">
        <w:t>CATION INSTRUCTION</w:t>
      </w:r>
    </w:p>
    <w:p w14:paraId="2D68769D" w14:textId="26B31FE3" w:rsidR="005C1169" w:rsidRDefault="00FE2DDE" w:rsidP="00C26D78">
      <w:pPr>
        <w:pStyle w:val="P68B1DB1-Normal1"/>
        <w:spacing w:before="229"/>
        <w:jc w:val="center"/>
      </w:pPr>
      <w:proofErr w:type="spellStart"/>
      <w:r>
        <w:t>Aim</w:t>
      </w:r>
      <w:proofErr w:type="spellEnd"/>
      <w:r w:rsidR="00842FB5">
        <w:t xml:space="preserve">, </w:t>
      </w:r>
      <w:proofErr w:type="spellStart"/>
      <w:r w:rsidR="00842FB5">
        <w:t>Basis</w:t>
      </w:r>
      <w:proofErr w:type="spellEnd"/>
      <w:r>
        <w:t xml:space="preserve"> </w:t>
      </w:r>
      <w:proofErr w:type="spellStart"/>
      <w:r>
        <w:t>and</w:t>
      </w:r>
      <w:proofErr w:type="spellEnd"/>
      <w:r w:rsidR="005F5C76">
        <w:t xml:space="preserve"> </w:t>
      </w:r>
      <w:proofErr w:type="spellStart"/>
      <w:r w:rsidR="005F5C76">
        <w:t>Definitions</w:t>
      </w:r>
      <w:proofErr w:type="spellEnd"/>
    </w:p>
    <w:p w14:paraId="1B9B3BE1" w14:textId="77777777" w:rsidR="005C1169" w:rsidRPr="00295C54" w:rsidRDefault="005C1169">
      <w:pPr>
        <w:pStyle w:val="GvdeMetni"/>
        <w:spacing w:before="6"/>
        <w:rPr>
          <w:b/>
          <w:bCs/>
          <w:sz w:val="23"/>
        </w:rPr>
      </w:pPr>
    </w:p>
    <w:p w14:paraId="2E43BF20" w14:textId="7318EC19" w:rsidR="005C1169" w:rsidRDefault="00FE2DDE" w:rsidP="00842FB5">
      <w:pPr>
        <w:pStyle w:val="GvdeMetni"/>
        <w:spacing w:line="276" w:lineRule="auto"/>
        <w:ind w:right="114"/>
        <w:jc w:val="both"/>
      </w:pPr>
      <w:r w:rsidRPr="00295C54">
        <w:rPr>
          <w:b/>
          <w:bCs/>
        </w:rPr>
        <w:t xml:space="preserve">ARTICLE </w:t>
      </w:r>
      <w:proofErr w:type="gramStart"/>
      <w:r w:rsidRPr="00295C54">
        <w:rPr>
          <w:b/>
          <w:bCs/>
        </w:rPr>
        <w:t>1</w:t>
      </w:r>
      <w:r>
        <w:t xml:space="preserve"> -</w:t>
      </w:r>
      <w:proofErr w:type="gramEnd"/>
      <w:r>
        <w:t xml:space="preserve"> (1)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instruction</w:t>
      </w:r>
      <w:proofErr w:type="spellEnd"/>
      <w:r>
        <w:t xml:space="preserve"> </w:t>
      </w:r>
      <w:proofErr w:type="spellStart"/>
      <w:r>
        <w:t>regulates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undergraduate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exams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Istanbul</w:t>
      </w:r>
      <w:proofErr w:type="spellEnd"/>
      <w:r>
        <w:t xml:space="preserve"> </w:t>
      </w:r>
      <w:proofErr w:type="spellStart"/>
      <w:r>
        <w:t>Medipol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r w:rsidR="00F03A93">
        <w:t xml:space="preserve">School of </w:t>
      </w:r>
      <w:proofErr w:type="spellStart"/>
      <w:r>
        <w:t>Law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scope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r w:rsidR="00295C54">
        <w:t>“</w:t>
      </w:r>
      <w:proofErr w:type="spellStart"/>
      <w:r w:rsidR="0039621C">
        <w:t>Istanbul</w:t>
      </w:r>
      <w:proofErr w:type="spellEnd"/>
      <w:r w:rsidR="0039621C">
        <w:t xml:space="preserve"> </w:t>
      </w:r>
      <w:proofErr w:type="spellStart"/>
      <w:r w:rsidR="0039621C">
        <w:t>Medipol</w:t>
      </w:r>
      <w:proofErr w:type="spellEnd"/>
      <w:r w:rsidR="0039621C">
        <w:t xml:space="preserve"> </w:t>
      </w:r>
      <w:proofErr w:type="spellStart"/>
      <w:r w:rsidR="0039621C">
        <w:t>University</w:t>
      </w:r>
      <w:proofErr w:type="spellEnd"/>
      <w:r w:rsidR="0039621C">
        <w:t xml:space="preserve"> </w:t>
      </w:r>
      <w:proofErr w:type="spellStart"/>
      <w:r w:rsidR="0039621C">
        <w:t>Associate</w:t>
      </w:r>
      <w:proofErr w:type="spellEnd"/>
      <w:r w:rsidR="0039621C">
        <w:t xml:space="preserve"> </w:t>
      </w:r>
      <w:proofErr w:type="spellStart"/>
      <w:r w:rsidR="0039621C">
        <w:t>and</w:t>
      </w:r>
      <w:proofErr w:type="spellEnd"/>
      <w:r w:rsidR="0039621C">
        <w:t xml:space="preserve"> </w:t>
      </w:r>
      <w:proofErr w:type="spellStart"/>
      <w:r w:rsidR="0039621C">
        <w:t>Undergraduate</w:t>
      </w:r>
      <w:proofErr w:type="spellEnd"/>
      <w:r w:rsidR="0039621C">
        <w:t xml:space="preserve"> </w:t>
      </w:r>
      <w:proofErr w:type="spellStart"/>
      <w:r w:rsidR="0039621C">
        <w:t>Education</w:t>
      </w:r>
      <w:proofErr w:type="spellEnd"/>
      <w:r w:rsidR="0039621C">
        <w:t xml:space="preserve"> </w:t>
      </w:r>
      <w:proofErr w:type="spellStart"/>
      <w:r w:rsidR="0039621C">
        <w:t>Regulations</w:t>
      </w:r>
      <w:proofErr w:type="spellEnd"/>
      <w:r w:rsidR="00295C54">
        <w:t>”</w:t>
      </w:r>
      <w:r>
        <w:t xml:space="preserve"> </w:t>
      </w:r>
      <w:proofErr w:type="spellStart"/>
      <w:r>
        <w:t>publ</w:t>
      </w:r>
      <w:r w:rsidR="001A3EBD">
        <w:t>ished</w:t>
      </w:r>
      <w:proofErr w:type="spellEnd"/>
      <w:r w:rsidR="001A3EBD">
        <w:t xml:space="preserve"> in </w:t>
      </w:r>
      <w:proofErr w:type="spellStart"/>
      <w:r w:rsidR="001A3EBD">
        <w:t>the</w:t>
      </w:r>
      <w:proofErr w:type="spellEnd"/>
      <w:r w:rsidR="001A3EBD">
        <w:t xml:space="preserve"> </w:t>
      </w:r>
      <w:proofErr w:type="spellStart"/>
      <w:r w:rsidR="001A3EBD">
        <w:t>Official</w:t>
      </w:r>
      <w:proofErr w:type="spellEnd"/>
      <w:r w:rsidR="001A3EBD">
        <w:t xml:space="preserve"> </w:t>
      </w:r>
      <w:proofErr w:type="spellStart"/>
      <w:r w:rsidR="001A3EBD">
        <w:t>Gazette</w:t>
      </w:r>
      <w:proofErr w:type="spellEnd"/>
      <w:r w:rsidR="001A3EBD">
        <w:t xml:space="preserve"> Numbered</w:t>
      </w:r>
      <w:r>
        <w:t xml:space="preserve">.28387 on </w:t>
      </w:r>
      <w:proofErr w:type="spellStart"/>
      <w:r>
        <w:t>the</w:t>
      </w:r>
      <w:proofErr w:type="spellEnd"/>
      <w:r>
        <w:t xml:space="preserve"> 17.07.2012  </w:t>
      </w:r>
    </w:p>
    <w:p w14:paraId="6C180B2E" w14:textId="77777777" w:rsidR="00842FB5" w:rsidRDefault="00842FB5" w:rsidP="00842FB5">
      <w:pPr>
        <w:pStyle w:val="Balk1"/>
        <w:ind w:left="0"/>
      </w:pPr>
    </w:p>
    <w:p w14:paraId="7807EDDD" w14:textId="1D9556EE" w:rsidR="005C1169" w:rsidRDefault="00842FB5" w:rsidP="00C26D78">
      <w:pPr>
        <w:pStyle w:val="Balk1"/>
        <w:ind w:left="0"/>
        <w:jc w:val="center"/>
      </w:pPr>
      <w:r>
        <w:t>Bas</w:t>
      </w:r>
      <w:r w:rsidR="002877A9">
        <w:t>e</w:t>
      </w:r>
    </w:p>
    <w:p w14:paraId="633D1CD0" w14:textId="77777777" w:rsidR="005C1169" w:rsidRDefault="005C1169">
      <w:pPr>
        <w:pStyle w:val="GvdeMetni"/>
        <w:spacing w:before="6"/>
        <w:rPr>
          <w:b/>
          <w:sz w:val="23"/>
        </w:rPr>
      </w:pPr>
    </w:p>
    <w:p w14:paraId="3A873633" w14:textId="750440A4" w:rsidR="005C1169" w:rsidRDefault="00FE2DDE" w:rsidP="00842FB5">
      <w:pPr>
        <w:pStyle w:val="GvdeMetni"/>
        <w:ind w:left="116" w:right="117"/>
        <w:jc w:val="both"/>
      </w:pPr>
      <w:r w:rsidRPr="00295C54">
        <w:rPr>
          <w:b/>
          <w:bCs/>
        </w:rPr>
        <w:t xml:space="preserve">ARTICLE </w:t>
      </w:r>
      <w:proofErr w:type="gramStart"/>
      <w:r w:rsidRPr="00295C54">
        <w:rPr>
          <w:b/>
          <w:bCs/>
        </w:rPr>
        <w:t>2</w:t>
      </w:r>
      <w:r>
        <w:t xml:space="preserve"> -</w:t>
      </w:r>
      <w:proofErr w:type="gramEnd"/>
      <w:r>
        <w:t xml:space="preserve"> (1)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Instruction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prepared</w:t>
      </w:r>
      <w:proofErr w:type="spellEnd"/>
      <w:r>
        <w:t xml:space="preserve"> </w:t>
      </w:r>
      <w:proofErr w:type="spellStart"/>
      <w:r w:rsidR="00295C54">
        <w:t>based</w:t>
      </w:r>
      <w:proofErr w:type="spellEnd"/>
      <w:r w:rsidR="00295C54">
        <w:t xml:space="preserve"> on</w:t>
      </w:r>
      <w:r>
        <w:t xml:space="preserve"> </w:t>
      </w:r>
      <w:proofErr w:type="spellStart"/>
      <w:r>
        <w:t>the</w:t>
      </w:r>
      <w:proofErr w:type="spellEnd"/>
      <w:r>
        <w:t xml:space="preserve"> “</w:t>
      </w:r>
      <w:proofErr w:type="spellStart"/>
      <w:r w:rsidR="0039621C">
        <w:t>Istanbul</w:t>
      </w:r>
      <w:proofErr w:type="spellEnd"/>
      <w:r w:rsidR="0039621C">
        <w:t xml:space="preserve"> </w:t>
      </w:r>
      <w:proofErr w:type="spellStart"/>
      <w:r w:rsidR="0039621C">
        <w:t>Medipol</w:t>
      </w:r>
      <w:proofErr w:type="spellEnd"/>
      <w:r w:rsidR="0039621C">
        <w:t xml:space="preserve"> </w:t>
      </w:r>
      <w:proofErr w:type="spellStart"/>
      <w:r w:rsidR="0039621C">
        <w:t>University</w:t>
      </w:r>
      <w:proofErr w:type="spellEnd"/>
      <w:r w:rsidR="0039621C">
        <w:t xml:space="preserve"> </w:t>
      </w:r>
      <w:proofErr w:type="spellStart"/>
      <w:r w:rsidR="0039621C">
        <w:t>Associate</w:t>
      </w:r>
      <w:proofErr w:type="spellEnd"/>
      <w:r w:rsidR="0039621C">
        <w:t xml:space="preserve"> </w:t>
      </w:r>
      <w:proofErr w:type="spellStart"/>
      <w:r w:rsidR="0039621C">
        <w:t>and</w:t>
      </w:r>
      <w:proofErr w:type="spellEnd"/>
      <w:r w:rsidR="0039621C">
        <w:t xml:space="preserve"> </w:t>
      </w:r>
      <w:proofErr w:type="spellStart"/>
      <w:r w:rsidR="0039621C">
        <w:t>Undergraduate</w:t>
      </w:r>
      <w:proofErr w:type="spellEnd"/>
      <w:r w:rsidR="0039621C">
        <w:t xml:space="preserve"> </w:t>
      </w:r>
      <w:proofErr w:type="spellStart"/>
      <w:r w:rsidR="0039621C">
        <w:t>Education</w:t>
      </w:r>
      <w:proofErr w:type="spellEnd"/>
      <w:r w:rsidR="0039621C">
        <w:t xml:space="preserve"> </w:t>
      </w:r>
      <w:proofErr w:type="spellStart"/>
      <w:r w:rsidR="0039621C">
        <w:t>Regulations</w:t>
      </w:r>
      <w:proofErr w:type="spellEnd"/>
      <w:r>
        <w:t>.</w:t>
      </w:r>
    </w:p>
    <w:p w14:paraId="703705CF" w14:textId="77777777" w:rsidR="005C1169" w:rsidRDefault="005C1169">
      <w:pPr>
        <w:pStyle w:val="GvdeMetni"/>
        <w:spacing w:before="4"/>
      </w:pPr>
    </w:p>
    <w:p w14:paraId="09E6DAC0" w14:textId="77777777" w:rsidR="005C1169" w:rsidRDefault="00FE2DDE" w:rsidP="00C26D78">
      <w:pPr>
        <w:pStyle w:val="Balk1"/>
        <w:ind w:left="0"/>
        <w:jc w:val="center"/>
      </w:pPr>
      <w:proofErr w:type="spellStart"/>
      <w:r>
        <w:t>Definitions</w:t>
      </w:r>
      <w:proofErr w:type="spellEnd"/>
    </w:p>
    <w:p w14:paraId="7862B7A9" w14:textId="77777777" w:rsidR="005C1169" w:rsidRDefault="005C1169">
      <w:pPr>
        <w:pStyle w:val="GvdeMetni"/>
        <w:spacing w:before="6"/>
        <w:rPr>
          <w:b/>
          <w:sz w:val="23"/>
        </w:rPr>
      </w:pPr>
    </w:p>
    <w:p w14:paraId="7E2CCC45" w14:textId="2B95DDAF" w:rsidR="005C1169" w:rsidRDefault="00A7290A" w:rsidP="00842FB5">
      <w:pPr>
        <w:pStyle w:val="GvdeMetni"/>
      </w:pPr>
      <w:r w:rsidRPr="00295C54">
        <w:rPr>
          <w:b/>
          <w:bCs/>
        </w:rPr>
        <w:t>ARTICLE</w:t>
      </w:r>
      <w:r w:rsidR="00FE2DDE" w:rsidRPr="00295C54">
        <w:rPr>
          <w:b/>
          <w:bCs/>
        </w:rPr>
        <w:t xml:space="preserve"> </w:t>
      </w:r>
      <w:proofErr w:type="gramStart"/>
      <w:r w:rsidR="00FE2DDE" w:rsidRPr="00295C54">
        <w:rPr>
          <w:b/>
          <w:bCs/>
        </w:rPr>
        <w:t>3</w:t>
      </w:r>
      <w:r w:rsidR="00FE2DDE">
        <w:t xml:space="preserve"> -</w:t>
      </w:r>
      <w:proofErr w:type="gramEnd"/>
      <w:r w:rsidR="00FE2DDE">
        <w:t xml:space="preserve"> (1</w:t>
      </w:r>
      <w:r>
        <w:t>)</w:t>
      </w:r>
      <w:r w:rsidR="007B1A64">
        <w:t xml:space="preserve"> </w:t>
      </w:r>
      <w:proofErr w:type="spellStart"/>
      <w:r w:rsidR="005F5C76">
        <w:t>The</w:t>
      </w:r>
      <w:proofErr w:type="spellEnd"/>
      <w:r w:rsidR="005F5C76">
        <w:t xml:space="preserve"> </w:t>
      </w:r>
      <w:proofErr w:type="spellStart"/>
      <w:r w:rsidR="005F5C76">
        <w:t>definitions</w:t>
      </w:r>
      <w:proofErr w:type="spellEnd"/>
      <w:r w:rsidR="005F5C76">
        <w:t xml:space="preserve"> in </w:t>
      </w:r>
      <w:proofErr w:type="spellStart"/>
      <w:r w:rsidR="005F5C76">
        <w:t>this</w:t>
      </w:r>
      <w:proofErr w:type="spellEnd"/>
      <w:r w:rsidR="005F5C76">
        <w:t xml:space="preserve"> </w:t>
      </w:r>
      <w:proofErr w:type="spellStart"/>
      <w:r w:rsidR="005F5C76">
        <w:t>instruction</w:t>
      </w:r>
      <w:proofErr w:type="spellEnd"/>
      <w:r w:rsidR="005F5C76">
        <w:t xml:space="preserve"> </w:t>
      </w:r>
      <w:proofErr w:type="spellStart"/>
      <w:r w:rsidR="005F5C76">
        <w:t>refer</w:t>
      </w:r>
      <w:proofErr w:type="spellEnd"/>
      <w:r w:rsidR="005F5C76">
        <w:t xml:space="preserve"> </w:t>
      </w:r>
      <w:proofErr w:type="spellStart"/>
      <w:r w:rsidR="005F5C76">
        <w:t>to</w:t>
      </w:r>
      <w:proofErr w:type="spellEnd"/>
      <w:r w:rsidR="007B1A64">
        <w:t xml:space="preserve"> </w:t>
      </w:r>
      <w:r w:rsidR="00843E77" w:rsidRPr="00843E77">
        <w:t>;</w:t>
      </w:r>
    </w:p>
    <w:p w14:paraId="17A57944" w14:textId="77777777" w:rsidR="005C1169" w:rsidRDefault="005C1169">
      <w:pPr>
        <w:pStyle w:val="GvdeMetni"/>
        <w:spacing w:before="10"/>
        <w:rPr>
          <w:sz w:val="23"/>
        </w:rPr>
      </w:pPr>
    </w:p>
    <w:p w14:paraId="4229E578" w14:textId="77777777" w:rsidR="005C1169" w:rsidRDefault="00FE2DDE">
      <w:pPr>
        <w:pStyle w:val="P68B1DB1-ListeParagraf2"/>
        <w:numPr>
          <w:ilvl w:val="0"/>
          <w:numId w:val="2"/>
        </w:numPr>
        <w:tabs>
          <w:tab w:val="left" w:pos="1185"/>
        </w:tabs>
        <w:spacing w:before="1"/>
      </w:pPr>
      <w:r>
        <w:t xml:space="preserve">School: School of </w:t>
      </w:r>
      <w:proofErr w:type="spellStart"/>
      <w:r>
        <w:t>Law</w:t>
      </w:r>
      <w:proofErr w:type="spellEnd"/>
      <w:r>
        <w:t>,</w:t>
      </w:r>
    </w:p>
    <w:p w14:paraId="5C54F62C" w14:textId="77777777" w:rsidR="005C1169" w:rsidRDefault="00FE2DDE">
      <w:pPr>
        <w:pStyle w:val="P68B1DB1-ListeParagraf2"/>
        <w:numPr>
          <w:ilvl w:val="0"/>
          <w:numId w:val="2"/>
        </w:numPr>
        <w:tabs>
          <w:tab w:val="left" w:pos="1185"/>
        </w:tabs>
      </w:pPr>
      <w:r>
        <w:t>Board: School Board,</w:t>
      </w:r>
    </w:p>
    <w:p w14:paraId="4274DE0F" w14:textId="7C1225A5" w:rsidR="005C1169" w:rsidRDefault="00FE2DDE">
      <w:pPr>
        <w:pStyle w:val="P68B1DB1-ListeParagraf2"/>
        <w:numPr>
          <w:ilvl w:val="0"/>
          <w:numId w:val="2"/>
        </w:numPr>
        <w:tabs>
          <w:tab w:val="left" w:pos="1185"/>
        </w:tabs>
      </w:pPr>
      <w:proofErr w:type="spellStart"/>
      <w:r>
        <w:t>Administrative</w:t>
      </w:r>
      <w:proofErr w:type="spellEnd"/>
      <w:r>
        <w:t xml:space="preserve"> Board: </w:t>
      </w:r>
      <w:r w:rsidR="00F03A93">
        <w:t>School</w:t>
      </w:r>
      <w:r>
        <w:t xml:space="preserve"> </w:t>
      </w:r>
      <w:proofErr w:type="spellStart"/>
      <w:r>
        <w:t>Administrative</w:t>
      </w:r>
      <w:proofErr w:type="spellEnd"/>
      <w:r>
        <w:t xml:space="preserve"> Board.</w:t>
      </w:r>
    </w:p>
    <w:p w14:paraId="1877CAC1" w14:textId="77777777" w:rsidR="005C1169" w:rsidRDefault="005C1169">
      <w:pPr>
        <w:pStyle w:val="GvdeMetni"/>
        <w:spacing w:before="4"/>
      </w:pPr>
    </w:p>
    <w:p w14:paraId="46AA17C5" w14:textId="77777777" w:rsidR="005C1169" w:rsidRDefault="00FE2DDE" w:rsidP="00C26D78">
      <w:pPr>
        <w:pStyle w:val="Balk1"/>
        <w:ind w:left="0"/>
        <w:jc w:val="center"/>
      </w:pPr>
      <w:proofErr w:type="spellStart"/>
      <w:r>
        <w:t>Duration</w:t>
      </w:r>
      <w:proofErr w:type="spellEnd"/>
      <w:r>
        <w:t xml:space="preserve"> of </w:t>
      </w:r>
      <w:proofErr w:type="spellStart"/>
      <w:r>
        <w:t>Education</w:t>
      </w:r>
      <w:proofErr w:type="spellEnd"/>
    </w:p>
    <w:p w14:paraId="065EA940" w14:textId="77777777" w:rsidR="005C1169" w:rsidRDefault="005C1169">
      <w:pPr>
        <w:pStyle w:val="GvdeMetni"/>
        <w:spacing w:before="6"/>
        <w:rPr>
          <w:b/>
          <w:sz w:val="23"/>
        </w:rPr>
      </w:pPr>
    </w:p>
    <w:p w14:paraId="788FB711" w14:textId="2DD35A20" w:rsidR="005C1169" w:rsidRDefault="00FE2DDE" w:rsidP="00842FB5">
      <w:pPr>
        <w:pStyle w:val="GvdeMetni"/>
        <w:ind w:left="116" w:right="120"/>
        <w:jc w:val="both"/>
      </w:pPr>
      <w:r w:rsidRPr="00842FB5">
        <w:rPr>
          <w:b/>
          <w:bCs/>
        </w:rPr>
        <w:t xml:space="preserve">ARTICLE </w:t>
      </w:r>
      <w:proofErr w:type="gramStart"/>
      <w:r w:rsidRPr="00842FB5">
        <w:rPr>
          <w:b/>
          <w:bCs/>
        </w:rPr>
        <w:t>4 -</w:t>
      </w:r>
      <w:proofErr w:type="gramEnd"/>
      <w:r w:rsidRPr="00842FB5">
        <w:rPr>
          <w:b/>
          <w:bCs/>
        </w:rPr>
        <w:t xml:space="preserve"> (1)</w:t>
      </w:r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-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is </w:t>
      </w:r>
      <w:proofErr w:type="spellStart"/>
      <w:r>
        <w:t>four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.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program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awarded</w:t>
      </w:r>
      <w:proofErr w:type="spellEnd"/>
      <w:r>
        <w:t xml:space="preserve"> a </w:t>
      </w:r>
      <w:proofErr w:type="spellStart"/>
      <w:r>
        <w:t>Law</w:t>
      </w:r>
      <w:proofErr w:type="spellEnd"/>
      <w:r>
        <w:t xml:space="preserve"> </w:t>
      </w:r>
      <w:r w:rsidR="00F03A93">
        <w:t xml:space="preserve">School </w:t>
      </w:r>
      <w:proofErr w:type="spellStart"/>
      <w:r>
        <w:t>undergraduate</w:t>
      </w:r>
      <w:proofErr w:type="spellEnd"/>
      <w:r>
        <w:t xml:space="preserve"> diploma.</w:t>
      </w:r>
    </w:p>
    <w:p w14:paraId="3C6EF792" w14:textId="77777777" w:rsidR="005C1169" w:rsidRDefault="005C1169">
      <w:pPr>
        <w:pStyle w:val="GvdeMetni"/>
        <w:spacing w:before="4"/>
      </w:pPr>
    </w:p>
    <w:p w14:paraId="081C6134" w14:textId="77777777" w:rsidR="005C1169" w:rsidRDefault="00FE2DDE" w:rsidP="00C26D78">
      <w:pPr>
        <w:pStyle w:val="Balk1"/>
        <w:ind w:left="0"/>
        <w:jc w:val="center"/>
      </w:pPr>
      <w:proofErr w:type="spellStart"/>
      <w:r>
        <w:t>Attendance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Courses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in </w:t>
      </w:r>
      <w:proofErr w:type="spellStart"/>
      <w:r>
        <w:t>Exams</w:t>
      </w:r>
      <w:proofErr w:type="spellEnd"/>
    </w:p>
    <w:p w14:paraId="43C9AE1B" w14:textId="77777777" w:rsidR="005C1169" w:rsidRPr="00295C54" w:rsidRDefault="005C1169">
      <w:pPr>
        <w:pStyle w:val="GvdeMetni"/>
        <w:spacing w:before="6"/>
        <w:rPr>
          <w:b/>
          <w:bCs/>
          <w:sz w:val="23"/>
        </w:rPr>
      </w:pPr>
    </w:p>
    <w:p w14:paraId="2B290DB6" w14:textId="2C92C174" w:rsidR="005C1169" w:rsidRDefault="00FE2DDE" w:rsidP="00842FB5">
      <w:pPr>
        <w:pStyle w:val="GvdeMetni"/>
        <w:ind w:left="116" w:right="113"/>
        <w:jc w:val="both"/>
      </w:pPr>
      <w:r w:rsidRPr="00295C54">
        <w:rPr>
          <w:b/>
          <w:bCs/>
        </w:rPr>
        <w:t xml:space="preserve">ARTICLE </w:t>
      </w:r>
      <w:proofErr w:type="gramStart"/>
      <w:r w:rsidRPr="00295C54">
        <w:rPr>
          <w:b/>
          <w:bCs/>
        </w:rPr>
        <w:t>5</w:t>
      </w:r>
      <w:r>
        <w:t xml:space="preserve"> -</w:t>
      </w:r>
      <w:proofErr w:type="gramEnd"/>
      <w:r>
        <w:t xml:space="preserve"> (1) </w:t>
      </w:r>
      <w:proofErr w:type="spellStart"/>
      <w:r>
        <w:t>Attendance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classes</w:t>
      </w:r>
      <w:proofErr w:type="spellEnd"/>
      <w:r>
        <w:t xml:space="preserve"> is </w:t>
      </w:r>
      <w:proofErr w:type="spellStart"/>
      <w:r>
        <w:t>compulsory</w:t>
      </w:r>
      <w:proofErr w:type="spellEnd"/>
      <w:r>
        <w:t xml:space="preserve">. A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not </w:t>
      </w:r>
      <w:proofErr w:type="spellStart"/>
      <w:r>
        <w:t>attend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30%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hours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not be </w:t>
      </w:r>
      <w:proofErr w:type="spellStart"/>
      <w:r>
        <w:t>admitted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final </w:t>
      </w:r>
      <w:proofErr w:type="spellStart"/>
      <w:r>
        <w:t>exam</w:t>
      </w:r>
      <w:proofErr w:type="spellEnd"/>
      <w:r>
        <w:t xml:space="preserve"> of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 w:rsidR="00295C54">
        <w:t>student’s</w:t>
      </w:r>
      <w:proofErr w:type="spellEnd"/>
      <w:r w:rsidR="00295C54">
        <w:t xml:space="preserve"> </w:t>
      </w:r>
      <w:proofErr w:type="spellStart"/>
      <w:r w:rsidR="00295C54">
        <w:t>excuse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report</w:t>
      </w:r>
      <w:proofErr w:type="spellEnd"/>
      <w:r>
        <w:t xml:space="preserve">, is not </w:t>
      </w:r>
      <w:proofErr w:type="spellStart"/>
      <w:r>
        <w:t>taken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calculation</w:t>
      </w:r>
      <w:proofErr w:type="spellEnd"/>
      <w:r>
        <w:t xml:space="preserve"> of </w:t>
      </w:r>
      <w:proofErr w:type="spellStart"/>
      <w:r>
        <w:t>absenteeism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list</w:t>
      </w:r>
      <w:proofErr w:type="spellEnd"/>
      <w:r>
        <w:t xml:space="preserve"> of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deemed</w:t>
      </w:r>
      <w:proofErr w:type="spellEnd"/>
      <w:r>
        <w:t xml:space="preserve"> </w:t>
      </w:r>
      <w:proofErr w:type="spellStart"/>
      <w:r>
        <w:t>unsuccessful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absenteeism</w:t>
      </w:r>
      <w:proofErr w:type="spellEnd"/>
      <w:r>
        <w:t xml:space="preserve"> is </w:t>
      </w:r>
      <w:proofErr w:type="spellStart"/>
      <w:r>
        <w:t>announced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week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semester</w:t>
      </w:r>
      <w:proofErr w:type="spellEnd"/>
      <w:r>
        <w:t>/</w:t>
      </w:r>
      <w:proofErr w:type="spellStart"/>
      <w:r>
        <w:t>year</w:t>
      </w:r>
      <w:proofErr w:type="spellEnd"/>
      <w:r>
        <w:t>.</w:t>
      </w:r>
    </w:p>
    <w:p w14:paraId="60FFD908" w14:textId="77777777" w:rsidR="005C1169" w:rsidRDefault="005C1169">
      <w:pPr>
        <w:pStyle w:val="GvdeMetni"/>
        <w:spacing w:before="11"/>
        <w:rPr>
          <w:sz w:val="23"/>
        </w:rPr>
      </w:pPr>
    </w:p>
    <w:p w14:paraId="5235E08C" w14:textId="77777777" w:rsidR="005C1169" w:rsidRDefault="00FE2DDE">
      <w:pPr>
        <w:pStyle w:val="GvdeMetni"/>
        <w:ind w:left="116" w:right="118" w:firstLine="707"/>
        <w:jc w:val="both"/>
      </w:pPr>
      <w:r>
        <w:t xml:space="preserve">(2)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meet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taking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fail </w:t>
      </w:r>
      <w:proofErr w:type="spellStart"/>
      <w:r>
        <w:t>the</w:t>
      </w:r>
      <w:proofErr w:type="spellEnd"/>
      <w:r>
        <w:t xml:space="preserve"> final </w:t>
      </w:r>
      <w:proofErr w:type="spellStart"/>
      <w:r>
        <w:t>exam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make-up</w:t>
      </w:r>
      <w:proofErr w:type="spellEnd"/>
      <w:r>
        <w:t xml:space="preserve"> </w:t>
      </w:r>
      <w:proofErr w:type="spellStart"/>
      <w:r>
        <w:t>exam</w:t>
      </w:r>
      <w:proofErr w:type="spellEnd"/>
      <w:r>
        <w:t xml:space="preserve"> can </w:t>
      </w:r>
      <w:proofErr w:type="spellStart"/>
      <w:r>
        <w:t>attend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>-of-</w:t>
      </w:r>
      <w:proofErr w:type="spellStart"/>
      <w:r>
        <w:t>year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make-up</w:t>
      </w:r>
      <w:proofErr w:type="spellEnd"/>
      <w:r>
        <w:t xml:space="preserve"> </w:t>
      </w:r>
      <w:proofErr w:type="spellStart"/>
      <w:r>
        <w:t>exams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repeat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,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midterms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of </w:t>
      </w:r>
      <w:proofErr w:type="spellStart"/>
      <w:r>
        <w:t>attendance</w:t>
      </w:r>
      <w:proofErr w:type="spellEnd"/>
      <w:r>
        <w:t xml:space="preserve">. </w:t>
      </w:r>
      <w:proofErr w:type="spellStart"/>
      <w:r>
        <w:t>Students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situation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register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>.</w:t>
      </w:r>
    </w:p>
    <w:p w14:paraId="77F43020" w14:textId="77777777" w:rsidR="005C1169" w:rsidRDefault="005C1169">
      <w:pPr>
        <w:pStyle w:val="GvdeMetni"/>
        <w:spacing w:before="4"/>
      </w:pPr>
    </w:p>
    <w:p w14:paraId="6DE73096" w14:textId="77777777" w:rsidR="005C1169" w:rsidRDefault="00FE2DDE" w:rsidP="00C26D78">
      <w:pPr>
        <w:pStyle w:val="Balk1"/>
        <w:ind w:left="0"/>
        <w:jc w:val="center"/>
      </w:pPr>
      <w:proofErr w:type="spellStart"/>
      <w:r>
        <w:t>Exams</w:t>
      </w:r>
      <w:proofErr w:type="spellEnd"/>
    </w:p>
    <w:p w14:paraId="593FD929" w14:textId="77777777" w:rsidR="005C1169" w:rsidRDefault="005C1169">
      <w:pPr>
        <w:pStyle w:val="GvdeMetni"/>
        <w:spacing w:before="6"/>
        <w:rPr>
          <w:b/>
          <w:sz w:val="23"/>
        </w:rPr>
      </w:pPr>
    </w:p>
    <w:p w14:paraId="017ADEAD" w14:textId="453F6E0B" w:rsidR="005C1169" w:rsidRDefault="00FE2DDE" w:rsidP="00842FB5">
      <w:pPr>
        <w:pStyle w:val="GvdeMetni"/>
        <w:ind w:left="116" w:right="116"/>
        <w:jc w:val="both"/>
      </w:pPr>
      <w:r w:rsidRPr="00295C54">
        <w:rPr>
          <w:b/>
          <w:bCs/>
        </w:rPr>
        <w:t xml:space="preserve">ARTICLE </w:t>
      </w:r>
      <w:proofErr w:type="gramStart"/>
      <w:r w:rsidRPr="00295C54">
        <w:rPr>
          <w:b/>
          <w:bCs/>
        </w:rPr>
        <w:t>6</w:t>
      </w:r>
      <w:r>
        <w:t xml:space="preserve"> -</w:t>
      </w:r>
      <w:proofErr w:type="gramEnd"/>
      <w:r>
        <w:t xml:space="preserve"> (1) At </w:t>
      </w:r>
      <w:proofErr w:type="spellStart"/>
      <w:r>
        <w:t>least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midterm</w:t>
      </w:r>
      <w:proofErr w:type="spellEnd"/>
      <w:r>
        <w:t xml:space="preserve"> </w:t>
      </w:r>
      <w:proofErr w:type="spellStart"/>
      <w:r>
        <w:t>exam</w:t>
      </w:r>
      <w:proofErr w:type="spellEnd"/>
      <w:r>
        <w:t xml:space="preserve"> is </w:t>
      </w:r>
      <w:proofErr w:type="spellStart"/>
      <w:r>
        <w:t>given</w:t>
      </w:r>
      <w:proofErr w:type="spellEnd"/>
      <w:r>
        <w:t xml:space="preserve"> in a </w:t>
      </w:r>
      <w:proofErr w:type="spellStart"/>
      <w:r>
        <w:t>course</w:t>
      </w:r>
      <w:proofErr w:type="spellEnd"/>
      <w:r>
        <w:t xml:space="preserve">. </w:t>
      </w:r>
      <w:r>
        <w:rPr>
          <w:b/>
        </w:rPr>
        <w:t>(</w:t>
      </w:r>
      <w:proofErr w:type="spellStart"/>
      <w:r>
        <w:rPr>
          <w:b/>
        </w:rPr>
        <w:t>Amendment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University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Senate</w:t>
      </w:r>
      <w:r w:rsidR="00295C54">
        <w:rPr>
          <w:b/>
        </w:rPr>
        <w:t>’</w:t>
      </w:r>
      <w:r>
        <w:rPr>
          <w:b/>
        </w:rPr>
        <w:t>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decision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dated</w:t>
      </w:r>
      <w:proofErr w:type="spellEnd"/>
      <w:r>
        <w:rPr>
          <w:b/>
        </w:rPr>
        <w:t xml:space="preserve"> 21.10.2014 </w:t>
      </w:r>
      <w:proofErr w:type="spellStart"/>
      <w:r>
        <w:rPr>
          <w:b/>
        </w:rPr>
        <w:t>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numbered</w:t>
      </w:r>
      <w:proofErr w:type="spellEnd"/>
      <w:r>
        <w:rPr>
          <w:b/>
        </w:rPr>
        <w:t xml:space="preserve"> 2014/31-04) </w:t>
      </w:r>
      <w:proofErr w:type="spellStart"/>
      <w:r>
        <w:t>In-semester</w:t>
      </w:r>
      <w:proofErr w:type="spellEnd"/>
      <w:r>
        <w:t xml:space="preserve"> </w:t>
      </w:r>
      <w:proofErr w:type="spellStart"/>
      <w:r>
        <w:t>evaluations</w:t>
      </w:r>
      <w:proofErr w:type="spellEnd"/>
      <w:r>
        <w:t xml:space="preserve"> of </w:t>
      </w:r>
      <w:proofErr w:type="spellStart"/>
      <w:r>
        <w:t>projects</w:t>
      </w:r>
      <w:proofErr w:type="spellEnd"/>
      <w:r>
        <w:t xml:space="preserve">, </w:t>
      </w:r>
      <w:proofErr w:type="spellStart"/>
      <w:r>
        <w:t>graduation</w:t>
      </w:r>
      <w:proofErr w:type="spellEnd"/>
      <w:r>
        <w:t xml:space="preserve"> </w:t>
      </w:r>
      <w:proofErr w:type="spellStart"/>
      <w:r>
        <w:t>papers</w:t>
      </w:r>
      <w:proofErr w:type="spellEnd"/>
      <w:r>
        <w:t xml:space="preserve">, </w:t>
      </w:r>
      <w:proofErr w:type="spellStart"/>
      <w:r>
        <w:t>laboratories</w:t>
      </w:r>
      <w:proofErr w:type="spellEnd"/>
      <w:r>
        <w:t xml:space="preserve">, </w:t>
      </w:r>
      <w:proofErr w:type="spellStart"/>
      <w:r>
        <w:t>workshops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similar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 w:rsidR="00295C54">
        <w:t>like</w:t>
      </w:r>
      <w:proofErr w:type="spellEnd"/>
      <w:r>
        <w:t xml:space="preserve"> a </w:t>
      </w:r>
      <w:proofErr w:type="spellStart"/>
      <w:r>
        <w:t>separate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, can </w:t>
      </w:r>
      <w:proofErr w:type="spellStart"/>
      <w:r>
        <w:t>replace</w:t>
      </w:r>
      <w:proofErr w:type="spellEnd"/>
      <w:r>
        <w:t xml:space="preserve"> as a </w:t>
      </w:r>
      <w:proofErr w:type="spellStart"/>
      <w:r>
        <w:t>midterm</w:t>
      </w:r>
      <w:proofErr w:type="spellEnd"/>
      <w:r>
        <w:t xml:space="preserve"> </w:t>
      </w:r>
      <w:proofErr w:type="spellStart"/>
      <w:r>
        <w:t>exam</w:t>
      </w:r>
      <w:proofErr w:type="spellEnd"/>
      <w:r>
        <w:t xml:space="preserve">. Final </w:t>
      </w:r>
      <w:proofErr w:type="spellStart"/>
      <w:r>
        <w:t>exam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announced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final </w:t>
      </w:r>
      <w:proofErr w:type="spellStart"/>
      <w:r>
        <w:t>exam</w:t>
      </w:r>
      <w:proofErr w:type="spellEnd"/>
      <w:r>
        <w:t xml:space="preserve"> </w:t>
      </w:r>
      <w:proofErr w:type="spellStart"/>
      <w:r>
        <w:t>period</w:t>
      </w:r>
      <w:proofErr w:type="spellEnd"/>
      <w:r>
        <w:t>.</w:t>
      </w:r>
    </w:p>
    <w:p w14:paraId="61BD5216" w14:textId="77777777" w:rsidR="005C1169" w:rsidRDefault="005C1169">
      <w:pPr>
        <w:jc w:val="both"/>
        <w:rPr>
          <w:sz w:val="24"/>
        </w:rPr>
        <w:sectPr w:rsidR="005C1169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14:paraId="3702FB86" w14:textId="77777777" w:rsidR="005C1169" w:rsidRDefault="00FE2DDE">
      <w:pPr>
        <w:pStyle w:val="P68B1DB1-ListeParagraf2"/>
        <w:numPr>
          <w:ilvl w:val="0"/>
          <w:numId w:val="1"/>
        </w:numPr>
        <w:tabs>
          <w:tab w:val="left" w:pos="1235"/>
        </w:tabs>
        <w:spacing w:before="69"/>
        <w:ind w:right="121" w:firstLine="708"/>
        <w:jc w:val="both"/>
      </w:pPr>
      <w:proofErr w:type="spellStart"/>
      <w:r>
        <w:lastRenderedPageBreak/>
        <w:t>The</w:t>
      </w:r>
      <w:proofErr w:type="spellEnd"/>
      <w:r>
        <w:t xml:space="preserve"> final </w:t>
      </w:r>
      <w:proofErr w:type="spellStart"/>
      <w:r>
        <w:t>exams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courses</w:t>
      </w:r>
      <w:proofErr w:type="spellEnd"/>
      <w:r>
        <w:t xml:space="preserve"> </w:t>
      </w:r>
      <w:proofErr w:type="spellStart"/>
      <w:r>
        <w:t>taught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semester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held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of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semester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final </w:t>
      </w:r>
      <w:proofErr w:type="spellStart"/>
      <w:r>
        <w:t>exams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courses</w:t>
      </w:r>
      <w:proofErr w:type="spellEnd"/>
      <w:r>
        <w:t xml:space="preserve"> </w:t>
      </w:r>
      <w:proofErr w:type="spellStart"/>
      <w:r>
        <w:t>taught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semesters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held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semester</w:t>
      </w:r>
      <w:proofErr w:type="spellEnd"/>
      <w:r>
        <w:t>.</w:t>
      </w:r>
    </w:p>
    <w:p w14:paraId="08780758" w14:textId="77777777" w:rsidR="005C1169" w:rsidRDefault="005C1169">
      <w:pPr>
        <w:pStyle w:val="GvdeMetni"/>
        <w:spacing w:before="1"/>
      </w:pPr>
    </w:p>
    <w:p w14:paraId="7FBE6F44" w14:textId="58A52310" w:rsidR="005C1169" w:rsidRDefault="00FE2DDE">
      <w:pPr>
        <w:pStyle w:val="ListeParagraf"/>
        <w:numPr>
          <w:ilvl w:val="0"/>
          <w:numId w:val="1"/>
        </w:numPr>
        <w:tabs>
          <w:tab w:val="left" w:pos="1259"/>
        </w:tabs>
        <w:spacing w:before="1" w:line="276" w:lineRule="auto"/>
        <w:ind w:right="113" w:firstLine="708"/>
        <w:jc w:val="both"/>
      </w:pPr>
      <w:r>
        <w:rPr>
          <w:b/>
          <w:sz w:val="24"/>
        </w:rPr>
        <w:t>(</w:t>
      </w:r>
      <w:proofErr w:type="spellStart"/>
      <w:r>
        <w:rPr>
          <w:b/>
          <w:sz w:val="24"/>
        </w:rPr>
        <w:t>Amendment</w:t>
      </w:r>
      <w:proofErr w:type="spellEnd"/>
      <w:r>
        <w:rPr>
          <w:b/>
          <w:sz w:val="24"/>
        </w:rPr>
        <w:t xml:space="preserve">: </w:t>
      </w:r>
      <w:proofErr w:type="spellStart"/>
      <w:r>
        <w:rPr>
          <w:b/>
          <w:sz w:val="24"/>
        </w:rPr>
        <w:t>University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Senate</w:t>
      </w:r>
      <w:r w:rsidR="00295C54">
        <w:rPr>
          <w:b/>
          <w:sz w:val="24"/>
        </w:rPr>
        <w:t>’</w:t>
      </w:r>
      <w:r>
        <w:rPr>
          <w:b/>
          <w:sz w:val="24"/>
        </w:rPr>
        <w:t>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decision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dated</w:t>
      </w:r>
      <w:proofErr w:type="spellEnd"/>
      <w:r>
        <w:rPr>
          <w:b/>
          <w:sz w:val="24"/>
        </w:rPr>
        <w:t xml:space="preserve"> 12.01.2016 </w:t>
      </w:r>
      <w:proofErr w:type="spellStart"/>
      <w:r>
        <w:rPr>
          <w:b/>
          <w:sz w:val="24"/>
        </w:rPr>
        <w:t>and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numbered</w:t>
      </w:r>
      <w:proofErr w:type="spellEnd"/>
      <w:r>
        <w:rPr>
          <w:b/>
          <w:sz w:val="24"/>
        </w:rPr>
        <w:t xml:space="preserve"> 2016/01-01) </w:t>
      </w:r>
      <w:proofErr w:type="spellStart"/>
      <w:r>
        <w:t>Success</w:t>
      </w:r>
      <w:proofErr w:type="spellEnd"/>
      <w:r>
        <w:t xml:space="preserve"> </w:t>
      </w:r>
      <w:proofErr w:type="spellStart"/>
      <w:r>
        <w:t>grade</w:t>
      </w:r>
      <w:proofErr w:type="spellEnd"/>
      <w:r>
        <w:t xml:space="preserve"> is </w:t>
      </w:r>
      <w:proofErr w:type="spellStart"/>
      <w:r>
        <w:t>determined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40%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grade</w:t>
      </w:r>
      <w:proofErr w:type="spellEnd"/>
      <w:r>
        <w:t xml:space="preserve"> </w:t>
      </w:r>
      <w:proofErr w:type="spellStart"/>
      <w:r>
        <w:t>taken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midterm</w:t>
      </w:r>
      <w:proofErr w:type="spellEnd"/>
      <w:r>
        <w:t xml:space="preserve"> </w:t>
      </w:r>
      <w:proofErr w:type="spellStart"/>
      <w:r>
        <w:t>exam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60%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grade</w:t>
      </w:r>
      <w:proofErr w:type="spellEnd"/>
      <w:r>
        <w:t xml:space="preserve"> </w:t>
      </w:r>
      <w:proofErr w:type="spellStart"/>
      <w:r>
        <w:t>taken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final </w:t>
      </w:r>
      <w:proofErr w:type="spellStart"/>
      <w:r>
        <w:t>exam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success</w:t>
      </w:r>
      <w:proofErr w:type="spellEnd"/>
      <w:r>
        <w:t xml:space="preserve"> </w:t>
      </w:r>
      <w:proofErr w:type="spellStart"/>
      <w:r>
        <w:t>grade</w:t>
      </w:r>
      <w:proofErr w:type="spellEnd"/>
      <w:r>
        <w:t xml:space="preserve"> is 60 (</w:t>
      </w:r>
      <w:proofErr w:type="spellStart"/>
      <w:r>
        <w:t>Sixty</w:t>
      </w:r>
      <w:proofErr w:type="spellEnd"/>
      <w:r>
        <w:t xml:space="preserve">),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General </w:t>
      </w:r>
      <w:proofErr w:type="spellStart"/>
      <w:r>
        <w:t>Exam</w:t>
      </w:r>
      <w:proofErr w:type="spellEnd"/>
      <w:r>
        <w:t xml:space="preserve"> </w:t>
      </w:r>
      <w:proofErr w:type="spellStart"/>
      <w:r>
        <w:t>score</w:t>
      </w:r>
      <w:proofErr w:type="spellEnd"/>
      <w:r>
        <w:t xml:space="preserve"> is at </w:t>
      </w:r>
      <w:proofErr w:type="spellStart"/>
      <w:r>
        <w:t>least</w:t>
      </w:r>
      <w:proofErr w:type="spellEnd"/>
      <w:r>
        <w:t xml:space="preserve"> 50 (</w:t>
      </w:r>
      <w:proofErr w:type="spellStart"/>
      <w:r>
        <w:t>Fifty</w:t>
      </w:r>
      <w:proofErr w:type="spellEnd"/>
      <w:r>
        <w:t>).</w:t>
      </w:r>
    </w:p>
    <w:p w14:paraId="47BF7BAA" w14:textId="60686964" w:rsidR="005C1169" w:rsidRDefault="00842FB5" w:rsidP="00C26D78">
      <w:pPr>
        <w:pStyle w:val="Balk1"/>
        <w:spacing w:before="4"/>
        <w:ind w:left="116"/>
        <w:jc w:val="center"/>
      </w:pPr>
      <w:proofErr w:type="spellStart"/>
      <w:r>
        <w:t>Education</w:t>
      </w:r>
      <w:proofErr w:type="spellEnd"/>
      <w:r>
        <w:t xml:space="preserve"> </w:t>
      </w:r>
      <w:proofErr w:type="spellStart"/>
      <w:r>
        <w:t>Terms</w:t>
      </w:r>
      <w:proofErr w:type="spellEnd"/>
    </w:p>
    <w:p w14:paraId="17F7FB42" w14:textId="77777777" w:rsidR="005C1169" w:rsidRDefault="005C1169">
      <w:pPr>
        <w:pStyle w:val="GvdeMetni"/>
        <w:spacing w:before="6"/>
        <w:rPr>
          <w:b/>
          <w:sz w:val="23"/>
        </w:rPr>
      </w:pPr>
    </w:p>
    <w:p w14:paraId="1F6EC5EE" w14:textId="77777777" w:rsidR="005C1169" w:rsidRDefault="00FE2DDE" w:rsidP="00842FB5">
      <w:pPr>
        <w:pStyle w:val="GvdeMetni"/>
        <w:spacing w:before="1"/>
        <w:ind w:left="116" w:right="119"/>
        <w:jc w:val="both"/>
      </w:pPr>
      <w:r w:rsidRPr="00295C54">
        <w:rPr>
          <w:b/>
          <w:bCs/>
        </w:rPr>
        <w:t xml:space="preserve">ARTICLE </w:t>
      </w:r>
      <w:proofErr w:type="gramStart"/>
      <w:r w:rsidRPr="00295C54">
        <w:rPr>
          <w:b/>
          <w:bCs/>
        </w:rPr>
        <w:t>7</w:t>
      </w:r>
      <w:r>
        <w:t xml:space="preserve"> -</w:t>
      </w:r>
      <w:proofErr w:type="gramEnd"/>
      <w:r>
        <w:t xml:space="preserve"> (1) </w:t>
      </w:r>
      <w:proofErr w:type="spellStart"/>
      <w:r>
        <w:t>Education</w:t>
      </w:r>
      <w:proofErr w:type="spellEnd"/>
      <w:r>
        <w:t xml:space="preserve"> is </w:t>
      </w:r>
      <w:proofErr w:type="spellStart"/>
      <w:r>
        <w:t>organized</w:t>
      </w:r>
      <w:proofErr w:type="spellEnd"/>
      <w:r>
        <w:t xml:space="preserve"> on a </w:t>
      </w:r>
      <w:proofErr w:type="spellStart"/>
      <w:r>
        <w:t>semester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recommendation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committees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proofErr w:type="gramStart"/>
      <w:r>
        <w:t>Senate</w:t>
      </w:r>
      <w:proofErr w:type="spellEnd"/>
      <w:proofErr w:type="gram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teach</w:t>
      </w:r>
      <w:proofErr w:type="spellEnd"/>
      <w:r>
        <w:t xml:space="preserve"> a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semesters</w:t>
      </w:r>
      <w:proofErr w:type="spellEnd"/>
      <w:r>
        <w:t xml:space="preserve"> (</w:t>
      </w:r>
      <w:proofErr w:type="spellStart"/>
      <w:r>
        <w:t>yearly</w:t>
      </w:r>
      <w:proofErr w:type="spellEnd"/>
      <w:r>
        <w:t>).</w:t>
      </w:r>
    </w:p>
    <w:p w14:paraId="77AC02B7" w14:textId="77777777" w:rsidR="005C1169" w:rsidRDefault="005C1169">
      <w:pPr>
        <w:pStyle w:val="GvdeMetni"/>
        <w:spacing w:before="4"/>
      </w:pPr>
    </w:p>
    <w:p w14:paraId="1CF11CB8" w14:textId="119C0AD9" w:rsidR="005C1169" w:rsidRDefault="00FE2DDE" w:rsidP="00C26D78">
      <w:pPr>
        <w:pStyle w:val="Balk1"/>
        <w:spacing w:before="1"/>
        <w:ind w:left="0"/>
        <w:jc w:val="center"/>
      </w:pPr>
      <w:proofErr w:type="spellStart"/>
      <w:r>
        <w:t>Validness</w:t>
      </w:r>
      <w:proofErr w:type="spellEnd"/>
    </w:p>
    <w:p w14:paraId="68E78A98" w14:textId="77777777" w:rsidR="005C1169" w:rsidRDefault="005C1169">
      <w:pPr>
        <w:pStyle w:val="GvdeMetni"/>
        <w:spacing w:before="7"/>
        <w:rPr>
          <w:b/>
          <w:sz w:val="23"/>
        </w:rPr>
      </w:pPr>
    </w:p>
    <w:p w14:paraId="15BCDB90" w14:textId="77777777" w:rsidR="005C1169" w:rsidRDefault="00FE2DDE" w:rsidP="00842FB5">
      <w:pPr>
        <w:pStyle w:val="GvdeMetni"/>
        <w:ind w:left="116" w:right="119"/>
        <w:jc w:val="both"/>
      </w:pPr>
      <w:r w:rsidRPr="00295C54">
        <w:rPr>
          <w:b/>
          <w:bCs/>
        </w:rPr>
        <w:t xml:space="preserve">ARTICLE </w:t>
      </w:r>
      <w:proofErr w:type="gramStart"/>
      <w:r w:rsidRPr="00295C54">
        <w:rPr>
          <w:b/>
          <w:bCs/>
        </w:rPr>
        <w:t>8</w:t>
      </w:r>
      <w:r>
        <w:t xml:space="preserve"> -</w:t>
      </w:r>
      <w:proofErr w:type="gramEnd"/>
      <w:r>
        <w:t xml:space="preserve"> (1)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instruction</w:t>
      </w:r>
      <w:proofErr w:type="spellEnd"/>
      <w:r>
        <w:t xml:space="preserve"> </w:t>
      </w:r>
      <w:proofErr w:type="spellStart"/>
      <w:r>
        <w:t>enters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force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 it is </w:t>
      </w:r>
      <w:proofErr w:type="spellStart"/>
      <w:r>
        <w:t>accepted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Istanbul</w:t>
      </w:r>
      <w:proofErr w:type="spellEnd"/>
      <w:r>
        <w:t xml:space="preserve"> </w:t>
      </w:r>
      <w:proofErr w:type="spellStart"/>
      <w:r>
        <w:t>Medipol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Senate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implemented</w:t>
      </w:r>
      <w:proofErr w:type="spellEnd"/>
      <w:r>
        <w:t xml:space="preserve"> as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beginning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2012-2013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year</w:t>
      </w:r>
      <w:proofErr w:type="spellEnd"/>
      <w:r>
        <w:t>.</w:t>
      </w:r>
    </w:p>
    <w:p w14:paraId="093FDDD6" w14:textId="77777777" w:rsidR="005C1169" w:rsidRDefault="005C1169">
      <w:pPr>
        <w:pStyle w:val="GvdeMetni"/>
        <w:spacing w:before="4"/>
      </w:pPr>
    </w:p>
    <w:p w14:paraId="722E08E5" w14:textId="77777777" w:rsidR="005C1169" w:rsidRDefault="00FE2DDE" w:rsidP="00C26D78">
      <w:pPr>
        <w:pStyle w:val="Balk1"/>
        <w:ind w:left="0"/>
        <w:jc w:val="center"/>
      </w:pPr>
      <w:proofErr w:type="spellStart"/>
      <w:r>
        <w:t>Execution</w:t>
      </w:r>
      <w:proofErr w:type="spellEnd"/>
    </w:p>
    <w:p w14:paraId="6B183532" w14:textId="77777777" w:rsidR="005C1169" w:rsidRDefault="005C1169">
      <w:pPr>
        <w:pStyle w:val="GvdeMetni"/>
        <w:spacing w:before="6"/>
        <w:rPr>
          <w:b/>
          <w:sz w:val="23"/>
        </w:rPr>
      </w:pPr>
    </w:p>
    <w:p w14:paraId="1ABDB0AF" w14:textId="0A774EA0" w:rsidR="005C1169" w:rsidRDefault="00FE2DDE" w:rsidP="00842FB5">
      <w:pPr>
        <w:pStyle w:val="GvdeMetni"/>
      </w:pPr>
      <w:r w:rsidRPr="00295C54">
        <w:rPr>
          <w:b/>
          <w:bCs/>
        </w:rPr>
        <w:t xml:space="preserve">ARTICLE </w:t>
      </w:r>
      <w:proofErr w:type="gramStart"/>
      <w:r w:rsidRPr="00295C54">
        <w:rPr>
          <w:b/>
          <w:bCs/>
        </w:rPr>
        <w:t>9</w:t>
      </w:r>
      <w:r>
        <w:t xml:space="preserve"> -</w:t>
      </w:r>
      <w:proofErr w:type="gramEnd"/>
      <w:r>
        <w:t xml:space="preserve"> (1)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provisions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instruction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implemented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Dean of </w:t>
      </w:r>
      <w:proofErr w:type="spellStart"/>
      <w:r>
        <w:t>the</w:t>
      </w:r>
      <w:proofErr w:type="spellEnd"/>
      <w:r>
        <w:t xml:space="preserve"> </w:t>
      </w:r>
      <w:r w:rsidR="00F03A93">
        <w:t xml:space="preserve">School of </w:t>
      </w:r>
      <w:proofErr w:type="spellStart"/>
      <w:r>
        <w:t>Law</w:t>
      </w:r>
      <w:proofErr w:type="spellEnd"/>
      <w:r>
        <w:t>.</w:t>
      </w:r>
    </w:p>
    <w:p w14:paraId="7A2FE43D" w14:textId="77777777" w:rsidR="005C1169" w:rsidRDefault="005C1169">
      <w:pPr>
        <w:pStyle w:val="GvdeMetni"/>
        <w:rPr>
          <w:sz w:val="26"/>
        </w:rPr>
      </w:pPr>
    </w:p>
    <w:p w14:paraId="1A5400FB" w14:textId="77777777" w:rsidR="005C1169" w:rsidRDefault="005C1169">
      <w:pPr>
        <w:pStyle w:val="GvdeMetni"/>
        <w:spacing w:before="2"/>
        <w:rPr>
          <w:sz w:val="22"/>
        </w:rPr>
      </w:pPr>
    </w:p>
    <w:p w14:paraId="23B66ABD" w14:textId="571B78B9" w:rsidR="005C1169" w:rsidRDefault="00FE2DDE" w:rsidP="00842FB5">
      <w:pPr>
        <w:pStyle w:val="GvdeMetni"/>
        <w:jc w:val="both"/>
      </w:pPr>
      <w:r>
        <w:t xml:space="preserve">* </w:t>
      </w:r>
      <w:proofErr w:type="spellStart"/>
      <w:r>
        <w:t>It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accepted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Senate</w:t>
      </w:r>
      <w:r w:rsidR="00295C54">
        <w:t>’</w:t>
      </w:r>
      <w:r>
        <w:t>s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dated</w:t>
      </w:r>
      <w:proofErr w:type="spellEnd"/>
      <w:r>
        <w:t xml:space="preserve"> 11/09/2012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numbered</w:t>
      </w:r>
      <w:proofErr w:type="spellEnd"/>
      <w:r>
        <w:t xml:space="preserve"> 2012/17-1.</w:t>
      </w:r>
    </w:p>
    <w:sectPr w:rsidR="005C1169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66BF3"/>
    <w:multiLevelType w:val="hybridMultilevel"/>
    <w:tmpl w:val="2ECE15FC"/>
    <w:lvl w:ilvl="0" w:tplc="041F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" w15:restartNumberingAfterBreak="0">
    <w:nsid w:val="2DDD2D49"/>
    <w:multiLevelType w:val="hybridMultilevel"/>
    <w:tmpl w:val="11E4D78A"/>
    <w:lvl w:ilvl="0" w:tplc="5E401B70">
      <w:start w:val="2"/>
      <w:numFmt w:val="decimal"/>
      <w:lvlText w:val="(%1)"/>
      <w:lvlJc w:val="left"/>
      <w:pPr>
        <w:ind w:left="116" w:hanging="411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0024B9B8">
      <w:numFmt w:val="bullet"/>
      <w:lvlText w:val="•"/>
      <w:lvlJc w:val="left"/>
      <w:pPr>
        <w:ind w:left="1038" w:hanging="411"/>
      </w:pPr>
      <w:rPr>
        <w:rFonts w:hint="default"/>
      </w:rPr>
    </w:lvl>
    <w:lvl w:ilvl="2" w:tplc="71DC7B6E">
      <w:numFmt w:val="bullet"/>
      <w:lvlText w:val="•"/>
      <w:lvlJc w:val="left"/>
      <w:pPr>
        <w:ind w:left="1957" w:hanging="411"/>
      </w:pPr>
      <w:rPr>
        <w:rFonts w:hint="default"/>
      </w:rPr>
    </w:lvl>
    <w:lvl w:ilvl="3" w:tplc="ADC04A66">
      <w:numFmt w:val="bullet"/>
      <w:lvlText w:val="•"/>
      <w:lvlJc w:val="left"/>
      <w:pPr>
        <w:ind w:left="2875" w:hanging="411"/>
      </w:pPr>
      <w:rPr>
        <w:rFonts w:hint="default"/>
      </w:rPr>
    </w:lvl>
    <w:lvl w:ilvl="4" w:tplc="ABD6BBCA">
      <w:numFmt w:val="bullet"/>
      <w:lvlText w:val="•"/>
      <w:lvlJc w:val="left"/>
      <w:pPr>
        <w:ind w:left="3794" w:hanging="411"/>
      </w:pPr>
      <w:rPr>
        <w:rFonts w:hint="default"/>
      </w:rPr>
    </w:lvl>
    <w:lvl w:ilvl="5" w:tplc="BA1679BE">
      <w:numFmt w:val="bullet"/>
      <w:lvlText w:val="•"/>
      <w:lvlJc w:val="left"/>
      <w:pPr>
        <w:ind w:left="4713" w:hanging="411"/>
      </w:pPr>
      <w:rPr>
        <w:rFonts w:hint="default"/>
      </w:rPr>
    </w:lvl>
    <w:lvl w:ilvl="6" w:tplc="F3828A3C">
      <w:numFmt w:val="bullet"/>
      <w:lvlText w:val="•"/>
      <w:lvlJc w:val="left"/>
      <w:pPr>
        <w:ind w:left="5631" w:hanging="411"/>
      </w:pPr>
      <w:rPr>
        <w:rFonts w:hint="default"/>
      </w:rPr>
    </w:lvl>
    <w:lvl w:ilvl="7" w:tplc="AB9AA252">
      <w:numFmt w:val="bullet"/>
      <w:lvlText w:val="•"/>
      <w:lvlJc w:val="left"/>
      <w:pPr>
        <w:ind w:left="6550" w:hanging="411"/>
      </w:pPr>
      <w:rPr>
        <w:rFonts w:hint="default"/>
      </w:rPr>
    </w:lvl>
    <w:lvl w:ilvl="8" w:tplc="C5BC3004">
      <w:numFmt w:val="bullet"/>
      <w:lvlText w:val="•"/>
      <w:lvlJc w:val="left"/>
      <w:pPr>
        <w:ind w:left="7469" w:hanging="411"/>
      </w:pPr>
      <w:rPr>
        <w:rFonts w:hint="default"/>
      </w:rPr>
    </w:lvl>
  </w:abstractNum>
  <w:abstractNum w:abstractNumId="2" w15:restartNumberingAfterBreak="0">
    <w:nsid w:val="372B353B"/>
    <w:multiLevelType w:val="hybridMultilevel"/>
    <w:tmpl w:val="B7C207A2"/>
    <w:lvl w:ilvl="0" w:tplc="0CE4E1DE">
      <w:start w:val="1"/>
      <w:numFmt w:val="lowerLetter"/>
      <w:lvlText w:val="%1)"/>
      <w:lvlJc w:val="left"/>
      <w:pPr>
        <w:ind w:left="1184" w:hanging="36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940625CE">
      <w:numFmt w:val="bullet"/>
      <w:lvlText w:val="•"/>
      <w:lvlJc w:val="left"/>
      <w:pPr>
        <w:ind w:left="1992" w:hanging="360"/>
      </w:pPr>
      <w:rPr>
        <w:rFonts w:hint="default"/>
      </w:rPr>
    </w:lvl>
    <w:lvl w:ilvl="2" w:tplc="9E5EF9A8">
      <w:numFmt w:val="bullet"/>
      <w:lvlText w:val="•"/>
      <w:lvlJc w:val="left"/>
      <w:pPr>
        <w:ind w:left="2805" w:hanging="360"/>
      </w:pPr>
      <w:rPr>
        <w:rFonts w:hint="default"/>
      </w:rPr>
    </w:lvl>
    <w:lvl w:ilvl="3" w:tplc="6D469264">
      <w:numFmt w:val="bullet"/>
      <w:lvlText w:val="•"/>
      <w:lvlJc w:val="left"/>
      <w:pPr>
        <w:ind w:left="3617" w:hanging="360"/>
      </w:pPr>
      <w:rPr>
        <w:rFonts w:hint="default"/>
      </w:rPr>
    </w:lvl>
    <w:lvl w:ilvl="4" w:tplc="6F80E6B0">
      <w:numFmt w:val="bullet"/>
      <w:lvlText w:val="•"/>
      <w:lvlJc w:val="left"/>
      <w:pPr>
        <w:ind w:left="4430" w:hanging="360"/>
      </w:pPr>
      <w:rPr>
        <w:rFonts w:hint="default"/>
      </w:rPr>
    </w:lvl>
    <w:lvl w:ilvl="5" w:tplc="8B62D508">
      <w:numFmt w:val="bullet"/>
      <w:lvlText w:val="•"/>
      <w:lvlJc w:val="left"/>
      <w:pPr>
        <w:ind w:left="5243" w:hanging="360"/>
      </w:pPr>
      <w:rPr>
        <w:rFonts w:hint="default"/>
      </w:rPr>
    </w:lvl>
    <w:lvl w:ilvl="6" w:tplc="16541A0A">
      <w:numFmt w:val="bullet"/>
      <w:lvlText w:val="•"/>
      <w:lvlJc w:val="left"/>
      <w:pPr>
        <w:ind w:left="6055" w:hanging="360"/>
      </w:pPr>
      <w:rPr>
        <w:rFonts w:hint="default"/>
      </w:rPr>
    </w:lvl>
    <w:lvl w:ilvl="7" w:tplc="5DA886C4">
      <w:numFmt w:val="bullet"/>
      <w:lvlText w:val="•"/>
      <w:lvlJc w:val="left"/>
      <w:pPr>
        <w:ind w:left="6868" w:hanging="360"/>
      </w:pPr>
      <w:rPr>
        <w:rFonts w:hint="default"/>
      </w:rPr>
    </w:lvl>
    <w:lvl w:ilvl="8" w:tplc="73948B28">
      <w:numFmt w:val="bullet"/>
      <w:lvlText w:val="•"/>
      <w:lvlJc w:val="left"/>
      <w:pPr>
        <w:ind w:left="7681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1NjYyNLU0NjQwNTZQ0lEKTi0uzszPAykwqQUA4Pfn0iwAAAA="/>
  </w:docVars>
  <w:rsids>
    <w:rsidRoot w:val="00CD3761"/>
    <w:rsid w:val="000249D0"/>
    <w:rsid w:val="001A3EBD"/>
    <w:rsid w:val="002877A9"/>
    <w:rsid w:val="00295C54"/>
    <w:rsid w:val="00391429"/>
    <w:rsid w:val="0039621C"/>
    <w:rsid w:val="005C1169"/>
    <w:rsid w:val="005F5C76"/>
    <w:rsid w:val="007B1A64"/>
    <w:rsid w:val="00842FB5"/>
    <w:rsid w:val="00843E77"/>
    <w:rsid w:val="00A7290A"/>
    <w:rsid w:val="00C26D78"/>
    <w:rsid w:val="00CC1DF4"/>
    <w:rsid w:val="00CD3761"/>
    <w:rsid w:val="00E17B92"/>
    <w:rsid w:val="00F03A93"/>
    <w:rsid w:val="00FA618C"/>
    <w:rsid w:val="00FD74D8"/>
    <w:rsid w:val="00FE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AB306"/>
  <w15:docId w15:val="{B768B347-E471-4444-8098-3068A14D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tr-TR" w:eastAsia="tr-TR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ind w:left="824"/>
      <w:outlineLvl w:val="0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</w:rPr>
  </w:style>
  <w:style w:type="paragraph" w:styleId="ListeParagraf">
    <w:name w:val="List Paragraph"/>
    <w:basedOn w:val="Normal"/>
    <w:uiPriority w:val="1"/>
    <w:qFormat/>
    <w:pPr>
      <w:ind w:left="118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68B1DB1-Normal1">
    <w:name w:val="P68B1DB1-Normal1"/>
    <w:basedOn w:val="Normal"/>
    <w:rPr>
      <w:b/>
      <w:sz w:val="24"/>
    </w:rPr>
  </w:style>
  <w:style w:type="paragraph" w:customStyle="1" w:styleId="P68B1DB1-ListeParagraf2">
    <w:name w:val="P68B1DB1-ListeParagraf2"/>
    <w:basedOn w:val="ListeParagra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Fakülte Sekreteri 3</dc:creator>
  <cp:lastModifiedBy>Şebnem GÜNGÖR</cp:lastModifiedBy>
  <cp:revision>2</cp:revision>
  <dcterms:created xsi:type="dcterms:W3CDTF">2021-10-20T09:28:00Z</dcterms:created>
  <dcterms:modified xsi:type="dcterms:W3CDTF">2021-10-20T09:28:00Z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2021-06-10T00:00:00Z</vt:filetime>
  </property>
</Properties>
</file>