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B1E13" w14:textId="77777777" w:rsidR="00F26846" w:rsidRDefault="007A4A78">
      <w:pPr>
        <w:pStyle w:val="Balk1"/>
        <w:spacing w:before="78"/>
        <w:ind w:left="604" w:right="604"/>
        <w:jc w:val="center"/>
      </w:pPr>
      <w:r>
        <w:t xml:space="preserve"> T.C.</w:t>
      </w:r>
    </w:p>
    <w:p w14:paraId="745DB4E9" w14:textId="77777777" w:rsidR="00F26846" w:rsidRDefault="007A4A78">
      <w:pPr>
        <w:pStyle w:val="P68B1DB1-Normal1"/>
        <w:spacing w:before="138"/>
        <w:ind w:left="603" w:right="604"/>
        <w:jc w:val="center"/>
      </w:pPr>
      <w:r>
        <w:t>ISTANBUL MEDIPOL UNIVERSITY</w:t>
      </w:r>
    </w:p>
    <w:p w14:paraId="4336060B" w14:textId="77777777" w:rsidR="00730480" w:rsidRDefault="004E485A">
      <w:pPr>
        <w:pStyle w:val="P68B1DB1-Normal1"/>
        <w:spacing w:before="138"/>
        <w:ind w:left="604" w:right="604"/>
        <w:jc w:val="center"/>
      </w:pPr>
      <w:r>
        <w:t>SCHOOL</w:t>
      </w:r>
      <w:r w:rsidR="007A4A78">
        <w:t xml:space="preserve"> OF HEALTH SCIENCES</w:t>
      </w:r>
    </w:p>
    <w:p w14:paraId="49F25212" w14:textId="37F18773" w:rsidR="00F26846" w:rsidRDefault="007A4A78">
      <w:pPr>
        <w:pStyle w:val="P68B1DB1-Normal1"/>
        <w:spacing w:before="138"/>
        <w:ind w:left="604" w:right="604"/>
        <w:jc w:val="center"/>
      </w:pPr>
      <w:r>
        <w:t xml:space="preserve">EDUCATION INSTRUCTION </w:t>
      </w:r>
    </w:p>
    <w:p w14:paraId="70434717" w14:textId="77777777" w:rsidR="00F26846" w:rsidRDefault="00F26846" w:rsidP="00727A40">
      <w:pPr>
        <w:pStyle w:val="GvdeMetni"/>
        <w:spacing w:before="5"/>
        <w:jc w:val="center"/>
        <w:rPr>
          <w:b/>
          <w:sz w:val="36"/>
        </w:rPr>
      </w:pPr>
    </w:p>
    <w:p w14:paraId="600B334A" w14:textId="77777777" w:rsidR="00F26846" w:rsidRDefault="007A4A78" w:rsidP="00727A40">
      <w:pPr>
        <w:pStyle w:val="P68B1DB1-Normal1"/>
        <w:ind w:left="825"/>
        <w:jc w:val="center"/>
      </w:pPr>
      <w:r>
        <w:t>Aim and Scope</w:t>
      </w:r>
    </w:p>
    <w:p w14:paraId="28BB9A7E" w14:textId="77777777" w:rsidR="00F26846" w:rsidRDefault="00F26846">
      <w:pPr>
        <w:pStyle w:val="GvdeMetni"/>
        <w:spacing w:before="11"/>
        <w:rPr>
          <w:b/>
          <w:sz w:val="23"/>
        </w:rPr>
      </w:pPr>
    </w:p>
    <w:p w14:paraId="402289DF" w14:textId="3D84DC83" w:rsidR="00F26846" w:rsidRDefault="007A4A78">
      <w:pPr>
        <w:pStyle w:val="GvdeMetni"/>
        <w:ind w:left="117" w:right="111" w:firstLine="708"/>
        <w:jc w:val="both"/>
      </w:pPr>
      <w:r>
        <w:rPr>
          <w:b/>
        </w:rPr>
        <w:t xml:space="preserve">ARTICLE 1 - </w:t>
      </w:r>
      <w:r>
        <w:t>(1) Th</w:t>
      </w:r>
      <w:r w:rsidR="002B29BA">
        <w:t>e aim of this i</w:t>
      </w:r>
      <w:r>
        <w:t>nstruction</w:t>
      </w:r>
      <w:r w:rsidR="002B29BA">
        <w:t xml:space="preserve"> is to</w:t>
      </w:r>
      <w:r>
        <w:t xml:space="preserve"> regulate the principles of undergraduate education and examinations given at the </w:t>
      </w:r>
      <w:r w:rsidR="003505D9">
        <w:t>School of</w:t>
      </w:r>
      <w:r>
        <w:t xml:space="preserve"> Health Sciences of Istanbul Medipol University.</w:t>
      </w:r>
    </w:p>
    <w:p w14:paraId="08100F66" w14:textId="77777777" w:rsidR="00F26846" w:rsidRDefault="00F26846">
      <w:pPr>
        <w:pStyle w:val="GvdeMetni"/>
        <w:spacing w:before="7"/>
      </w:pPr>
    </w:p>
    <w:p w14:paraId="6B2B784B" w14:textId="77777777" w:rsidR="00F26846" w:rsidRDefault="007A4A78" w:rsidP="00727A40">
      <w:pPr>
        <w:pStyle w:val="Balk1"/>
        <w:jc w:val="center"/>
      </w:pPr>
      <w:r>
        <w:t>Base</w:t>
      </w:r>
    </w:p>
    <w:p w14:paraId="7DB2D6F2" w14:textId="77777777" w:rsidR="00F26846" w:rsidRPr="00727A40" w:rsidRDefault="00F26846">
      <w:pPr>
        <w:pStyle w:val="GvdeMetni"/>
        <w:rPr>
          <w:b/>
          <w:bCs/>
        </w:rPr>
      </w:pPr>
    </w:p>
    <w:p w14:paraId="50ECEBF0" w14:textId="40431769" w:rsidR="00F26846" w:rsidRDefault="007A4A78">
      <w:pPr>
        <w:pStyle w:val="GvdeMetni"/>
        <w:ind w:left="117" w:right="112" w:firstLine="708"/>
        <w:jc w:val="both"/>
      </w:pPr>
      <w:r w:rsidRPr="00727A40">
        <w:rPr>
          <w:b/>
          <w:bCs/>
        </w:rPr>
        <w:t>ARTICLE 2 - (1)</w:t>
      </w:r>
      <w:r>
        <w:t xml:space="preserve"> This </w:t>
      </w:r>
      <w:r w:rsidR="002B29BA">
        <w:t>i</w:t>
      </w:r>
      <w:r>
        <w:t xml:space="preserve">nstruction has been prepared </w:t>
      </w:r>
      <w:r w:rsidR="005D7BF3">
        <w:t>based on</w:t>
      </w:r>
      <w:r>
        <w:t xml:space="preserve"> the “Istanbul Medipol University Undergraduate</w:t>
      </w:r>
      <w:r w:rsidR="002B29BA">
        <w:t>-Associate</w:t>
      </w:r>
      <w:r>
        <w:t xml:space="preserve"> Education Regulations”, which came into force after being published in the Official Gazette Numbered 28387 on 17.08.2012.</w:t>
      </w:r>
    </w:p>
    <w:p w14:paraId="2C2430ED" w14:textId="77777777" w:rsidR="00F26846" w:rsidRDefault="00F26846">
      <w:pPr>
        <w:pStyle w:val="GvdeMetni"/>
        <w:spacing w:before="7"/>
      </w:pPr>
    </w:p>
    <w:p w14:paraId="0375CCAB" w14:textId="77777777" w:rsidR="00F26846" w:rsidRDefault="007A4A78" w:rsidP="00727A40">
      <w:pPr>
        <w:pStyle w:val="Balk1"/>
        <w:jc w:val="center"/>
      </w:pPr>
      <w:r>
        <w:t>Definitions</w:t>
      </w:r>
    </w:p>
    <w:p w14:paraId="5939640F" w14:textId="77777777" w:rsidR="00F26846" w:rsidRPr="00727A40" w:rsidRDefault="00F26846">
      <w:pPr>
        <w:pStyle w:val="GvdeMetni"/>
        <w:spacing w:before="1"/>
        <w:rPr>
          <w:b/>
        </w:rPr>
      </w:pPr>
    </w:p>
    <w:p w14:paraId="037888BE" w14:textId="77777777" w:rsidR="00734270" w:rsidRDefault="004E485A" w:rsidP="00734270">
      <w:pPr>
        <w:pStyle w:val="GvdeMetni"/>
        <w:spacing w:line="360" w:lineRule="auto"/>
        <w:ind w:left="1185"/>
      </w:pPr>
      <w:r w:rsidRPr="00727A40">
        <w:rPr>
          <w:b/>
        </w:rPr>
        <w:t xml:space="preserve">ARTICLE3 </w:t>
      </w:r>
      <w:r w:rsidR="007A4A78" w:rsidRPr="00727A40">
        <w:rPr>
          <w:b/>
        </w:rPr>
        <w:t xml:space="preserve">- </w:t>
      </w:r>
      <w:r w:rsidRPr="00727A40">
        <w:rPr>
          <w:b/>
        </w:rPr>
        <w:t>(1</w:t>
      </w:r>
      <w:r>
        <w:t xml:space="preserve">) </w:t>
      </w:r>
      <w:r w:rsidR="002B29BA">
        <w:t xml:space="preserve">The definitions </w:t>
      </w:r>
      <w:r w:rsidR="00734270">
        <w:t xml:space="preserve">in this instruction refer to; </w:t>
      </w:r>
    </w:p>
    <w:p w14:paraId="351C6DD7" w14:textId="7C64DAD5" w:rsidR="00F26846" w:rsidRDefault="007A4A78" w:rsidP="00734270">
      <w:pPr>
        <w:pStyle w:val="GvdeMetni"/>
        <w:numPr>
          <w:ilvl w:val="0"/>
          <w:numId w:val="4"/>
        </w:numPr>
        <w:spacing w:line="360" w:lineRule="auto"/>
      </w:pPr>
      <w:r>
        <w:t>School: School of Health Sciences,</w:t>
      </w:r>
    </w:p>
    <w:p w14:paraId="1EAEB25D" w14:textId="77777777" w:rsidR="00F26846" w:rsidRDefault="007A4A78" w:rsidP="00734270">
      <w:pPr>
        <w:pStyle w:val="P68B1DB1-ListeParagraf2"/>
        <w:numPr>
          <w:ilvl w:val="0"/>
          <w:numId w:val="4"/>
        </w:numPr>
        <w:tabs>
          <w:tab w:val="left" w:pos="1186"/>
        </w:tabs>
        <w:jc w:val="left"/>
      </w:pPr>
      <w:r>
        <w:t>Board: School Board,</w:t>
      </w:r>
    </w:p>
    <w:p w14:paraId="2EFD6AC9" w14:textId="77777777" w:rsidR="00F26846" w:rsidRDefault="007A4A78" w:rsidP="00734270">
      <w:pPr>
        <w:pStyle w:val="P68B1DB1-ListeParagraf2"/>
        <w:numPr>
          <w:ilvl w:val="0"/>
          <w:numId w:val="4"/>
        </w:numPr>
        <w:tabs>
          <w:tab w:val="left" w:pos="1186"/>
        </w:tabs>
        <w:jc w:val="left"/>
      </w:pPr>
      <w:r>
        <w:t>Administrative Board: Refers to the School Administrative Board.</w:t>
      </w:r>
    </w:p>
    <w:p w14:paraId="4AF6620F" w14:textId="77777777" w:rsidR="00F26846" w:rsidRDefault="00F26846">
      <w:pPr>
        <w:pStyle w:val="GvdeMetni"/>
        <w:spacing w:before="6"/>
      </w:pPr>
    </w:p>
    <w:p w14:paraId="691CA666" w14:textId="77777777" w:rsidR="00F26846" w:rsidRDefault="007A4A78" w:rsidP="00727A40">
      <w:pPr>
        <w:pStyle w:val="Balk1"/>
        <w:jc w:val="center"/>
      </w:pPr>
      <w:r>
        <w:t>Duration of Education</w:t>
      </w:r>
    </w:p>
    <w:p w14:paraId="0B2885CD" w14:textId="77777777" w:rsidR="00F26846" w:rsidRDefault="00F26846">
      <w:pPr>
        <w:pStyle w:val="GvdeMetni"/>
        <w:rPr>
          <w:b/>
        </w:rPr>
      </w:pPr>
    </w:p>
    <w:p w14:paraId="2CA1CEC8" w14:textId="17126E60" w:rsidR="00F26846" w:rsidRDefault="007A4A78">
      <w:pPr>
        <w:pStyle w:val="GvdeMetni"/>
        <w:spacing w:before="1"/>
        <w:ind w:left="117" w:right="110" w:firstLine="708"/>
        <w:jc w:val="both"/>
      </w:pPr>
      <w:r>
        <w:rPr>
          <w:b/>
        </w:rPr>
        <w:t xml:space="preserve">ARTICLE 4 - </w:t>
      </w:r>
      <w:r>
        <w:t>(1) The education- training term of the faculty is 8 semesters in all departments. Students who complete the program they are registered with are given a bachelor's degree related to their department.</w:t>
      </w:r>
    </w:p>
    <w:p w14:paraId="5686A92B" w14:textId="77777777" w:rsidR="00F26846" w:rsidRDefault="00F26846">
      <w:pPr>
        <w:pStyle w:val="GvdeMetni"/>
        <w:spacing w:before="6"/>
      </w:pPr>
    </w:p>
    <w:p w14:paraId="0714C0A6" w14:textId="77777777" w:rsidR="00F26846" w:rsidRDefault="007A4A78" w:rsidP="00727A40">
      <w:pPr>
        <w:pStyle w:val="Balk1"/>
        <w:jc w:val="center"/>
      </w:pPr>
      <w:r>
        <w:t>Attending Classes and Attending Exams</w:t>
      </w:r>
    </w:p>
    <w:p w14:paraId="422F549B" w14:textId="77777777" w:rsidR="00F26846" w:rsidRDefault="00F26846">
      <w:pPr>
        <w:pStyle w:val="GvdeMetni"/>
        <w:spacing w:before="2"/>
        <w:rPr>
          <w:b/>
        </w:rPr>
      </w:pPr>
    </w:p>
    <w:p w14:paraId="2CCD8FE8" w14:textId="2F224BB6" w:rsidR="00F26846" w:rsidRDefault="007A4A78">
      <w:pPr>
        <w:pStyle w:val="GvdeMetni"/>
        <w:spacing w:line="276" w:lineRule="auto"/>
        <w:ind w:left="117" w:right="117" w:firstLine="709"/>
        <w:jc w:val="both"/>
      </w:pPr>
      <w:r>
        <w:rPr>
          <w:b/>
        </w:rPr>
        <w:t xml:space="preserve">ARTICLE 5 - </w:t>
      </w:r>
      <w:r>
        <w:t>(1) Except for the courses to be given with the distance education system, attendance to the courses, laboratories and practices is mandatory. A student who does not attend more than thirty per</w:t>
      </w:r>
      <w:r w:rsidR="005D7BF3">
        <w:t xml:space="preserve"> </w:t>
      </w:r>
      <w:r>
        <w:t>cent of the theoretical hours and more than twenty per</w:t>
      </w:r>
      <w:r w:rsidR="005D7BF3">
        <w:t xml:space="preserve"> </w:t>
      </w:r>
      <w:r>
        <w:t>cent of the practice hours is not taken to the final exam of that course. The list of those who are not entitled to take the exam due to absenteeism is announced by the responsible lecturer of the relevant course at least one week before the final exam period</w:t>
      </w:r>
      <w:r w:rsidR="005D7BF3">
        <w:t>,</w:t>
      </w:r>
      <w:r>
        <w:t xml:space="preserve"> and the administration is informed.</w:t>
      </w:r>
    </w:p>
    <w:p w14:paraId="651689B3" w14:textId="77777777" w:rsidR="00F26846" w:rsidRDefault="00F26846">
      <w:pPr>
        <w:pStyle w:val="GvdeMetni"/>
        <w:spacing w:before="7"/>
      </w:pPr>
    </w:p>
    <w:p w14:paraId="2CAD90BD" w14:textId="77777777" w:rsidR="00F26846" w:rsidRDefault="007A4A78" w:rsidP="00727A40">
      <w:pPr>
        <w:pStyle w:val="Balk1"/>
        <w:spacing w:before="1"/>
        <w:jc w:val="center"/>
      </w:pPr>
      <w:r>
        <w:t>Exams</w:t>
      </w:r>
    </w:p>
    <w:p w14:paraId="19966E0A" w14:textId="77777777" w:rsidR="00F26846" w:rsidRDefault="00F26846">
      <w:pPr>
        <w:pStyle w:val="GvdeMetni"/>
        <w:spacing w:before="1"/>
        <w:rPr>
          <w:b/>
        </w:rPr>
      </w:pPr>
    </w:p>
    <w:p w14:paraId="3B084522" w14:textId="06048DE2" w:rsidR="00F26846" w:rsidRDefault="007A4A78">
      <w:pPr>
        <w:pStyle w:val="GvdeMetni"/>
        <w:spacing w:line="276" w:lineRule="auto"/>
        <w:ind w:left="117" w:right="116" w:firstLine="709"/>
        <w:jc w:val="both"/>
      </w:pPr>
      <w:r>
        <w:rPr>
          <w:b/>
        </w:rPr>
        <w:t xml:space="preserve">ARTICLE 6 - </w:t>
      </w:r>
      <w:r>
        <w:t xml:space="preserve">(1) Exams; consists of midterm, final exam, make-up exam, exemption exam and make-up exam. These exams can be written, oral or both written and oral and applied. Exam dates deemed appropriate by the relevant unit are announced at least one week before the exams. A student who does not take the exams is </w:t>
      </w:r>
      <w:r w:rsidR="005D7BF3">
        <w:t>considered to b</w:t>
      </w:r>
      <w:r>
        <w:t xml:space="preserve">e used that exam right and received zero </w:t>
      </w:r>
      <w:r w:rsidR="005D7BF3">
        <w:t xml:space="preserve">points </w:t>
      </w:r>
      <w:r>
        <w:t xml:space="preserve">(0) from those exams. If necessary, classes and exams can be held on </w:t>
      </w:r>
      <w:r>
        <w:lastRenderedPageBreak/>
        <w:t>Saturdays and Sundays with the decision of the board of administrative and the approval of the Rectorate.</w:t>
      </w:r>
    </w:p>
    <w:p w14:paraId="4750F87A" w14:textId="3FAE59FF" w:rsidR="00F26846" w:rsidRDefault="007A4A78">
      <w:pPr>
        <w:pStyle w:val="P68B1DB1-ListeParagraf2"/>
        <w:numPr>
          <w:ilvl w:val="0"/>
          <w:numId w:val="1"/>
        </w:numPr>
        <w:tabs>
          <w:tab w:val="left" w:pos="1186"/>
        </w:tabs>
        <w:spacing w:before="76" w:line="276" w:lineRule="auto"/>
        <w:ind w:right="116" w:firstLine="709"/>
        <w:jc w:val="both"/>
      </w:pPr>
      <w:r>
        <w:t xml:space="preserve">Students are required to take the exams at the announced day, time and place and to have their identity documents and other required documents with them; otherwise, their exams will be deemed invalid. If a student takes an exam for which </w:t>
      </w:r>
      <w:r w:rsidR="005D7BF3">
        <w:t>they do</w:t>
      </w:r>
      <w:r>
        <w:t xml:space="preserve"> not fulfil the conditions, </w:t>
      </w:r>
      <w:r w:rsidR="005D7BF3">
        <w:t>thei</w:t>
      </w:r>
      <w:r>
        <w:t>r grade will be deemed invalid, even if it has been announced. Written exam documents are kept for at least two years.</w:t>
      </w:r>
    </w:p>
    <w:p w14:paraId="085932F8" w14:textId="77777777" w:rsidR="00F26846" w:rsidRDefault="00F26846">
      <w:pPr>
        <w:pStyle w:val="GvdeMetni"/>
        <w:spacing w:before="4"/>
      </w:pPr>
    </w:p>
    <w:p w14:paraId="610514FB" w14:textId="535FBEE4" w:rsidR="00F26846" w:rsidRDefault="007A4A78">
      <w:pPr>
        <w:pStyle w:val="P68B1DB1-ListeParagraf2"/>
        <w:numPr>
          <w:ilvl w:val="0"/>
          <w:numId w:val="1"/>
        </w:numPr>
        <w:tabs>
          <w:tab w:val="left" w:pos="1242"/>
        </w:tabs>
        <w:ind w:right="111" w:firstLine="708"/>
        <w:jc w:val="both"/>
      </w:pPr>
      <w:r>
        <w:t xml:space="preserve">Education in the school is carried out </w:t>
      </w:r>
      <w:r w:rsidR="005D7BF3">
        <w:t>based on</w:t>
      </w:r>
      <w:r>
        <w:t xml:space="preserve"> passing the course. To be able to take prerequisite courses, the condition must be fulfilled. A student with a CGPA of 2.00 out of 4.00 receives the right to graduate, provided that </w:t>
      </w:r>
      <w:r w:rsidR="005D7BF3">
        <w:t>they complete</w:t>
      </w:r>
      <w:r>
        <w:t xml:space="preserve"> the credits required for the program </w:t>
      </w:r>
      <w:r w:rsidR="005D7BF3">
        <w:t>they are</w:t>
      </w:r>
      <w:r>
        <w:t xml:space="preserve"> enrolled in and is successful in all courses.</w:t>
      </w:r>
    </w:p>
    <w:p w14:paraId="1B02C690" w14:textId="77777777" w:rsidR="00F26846" w:rsidRDefault="00F26846">
      <w:pPr>
        <w:pStyle w:val="GvdeMetni"/>
        <w:spacing w:before="2"/>
      </w:pPr>
    </w:p>
    <w:p w14:paraId="548852EF" w14:textId="2B4348A2" w:rsidR="00F26846" w:rsidRDefault="007A4A78">
      <w:pPr>
        <w:pStyle w:val="P68B1DB1-ListeParagraf2"/>
        <w:numPr>
          <w:ilvl w:val="0"/>
          <w:numId w:val="1"/>
        </w:numPr>
        <w:tabs>
          <w:tab w:val="left" w:pos="1103"/>
        </w:tabs>
        <w:ind w:right="107" w:firstLine="708"/>
        <w:jc w:val="both"/>
      </w:pPr>
      <w:r>
        <w:t xml:space="preserve">In determining the course success grade, the weight of the midterm exam grade is 40% and the </w:t>
      </w:r>
      <w:r w:rsidR="005D7BF3">
        <w:t>importance</w:t>
      </w:r>
      <w:r>
        <w:t xml:space="preserve"> of the final exam grade is 60%. When evaluations such as projects, assignments and presentations that replace more than one midterm or midterm exam are made, the average of the grades obtained from them is taken.  In order for the student to be considered successful in that course, the course success grade must be at least 60 (sixty) out of 100 (one hundred) full points. However, the final exam grade must be at least 50 (fifty) out of 100 (one hundred) full points. The provisions of the “Istanbul Medipol University </w:t>
      </w:r>
      <w:r w:rsidR="00734270">
        <w:t xml:space="preserve">Undergraduate- </w:t>
      </w:r>
      <w:r>
        <w:t>Associate Education Regulations” are valid for the calculation of the course grade and the evaluation of the success.</w:t>
      </w:r>
    </w:p>
    <w:p w14:paraId="0CE285C0" w14:textId="77777777" w:rsidR="00F26846" w:rsidRDefault="00F26846">
      <w:pPr>
        <w:pStyle w:val="GvdeMetni"/>
        <w:spacing w:before="3"/>
      </w:pPr>
    </w:p>
    <w:p w14:paraId="6931D1F1" w14:textId="77777777" w:rsidR="00F26846" w:rsidRDefault="007A4A78">
      <w:pPr>
        <w:pStyle w:val="P68B1DB1-ListeParagraf2"/>
        <w:numPr>
          <w:ilvl w:val="0"/>
          <w:numId w:val="1"/>
        </w:numPr>
        <w:tabs>
          <w:tab w:val="left" w:pos="1304"/>
        </w:tabs>
        <w:ind w:right="107" w:firstLine="708"/>
        <w:jc w:val="both"/>
      </w:pPr>
      <w:r>
        <w:t>Oral exams, practice exams and similar exams, which can not be shown or hidden in written or material form, are evaluated by at least two instructors.</w:t>
      </w:r>
    </w:p>
    <w:p w14:paraId="374FF76C" w14:textId="77777777" w:rsidR="00F26846" w:rsidRDefault="00F26846">
      <w:pPr>
        <w:pStyle w:val="GvdeMetni"/>
        <w:spacing w:before="2"/>
      </w:pPr>
    </w:p>
    <w:p w14:paraId="11D3C128" w14:textId="77777777" w:rsidR="00F26846" w:rsidRDefault="007A4A78">
      <w:pPr>
        <w:pStyle w:val="P68B1DB1-ListeParagraf2"/>
        <w:numPr>
          <w:ilvl w:val="0"/>
          <w:numId w:val="1"/>
        </w:numPr>
        <w:tabs>
          <w:tab w:val="left" w:pos="1205"/>
        </w:tabs>
        <w:ind w:right="107" w:firstLine="708"/>
        <w:jc w:val="both"/>
      </w:pPr>
      <w:r>
        <w:t>Each of the internship applications is considered as a separate course. Internship application and evaluation principles are determined by the relevant committees.</w:t>
      </w:r>
    </w:p>
    <w:p w14:paraId="03A5C39F" w14:textId="77777777" w:rsidR="00F26846" w:rsidRDefault="00F26846">
      <w:pPr>
        <w:pStyle w:val="GvdeMetni"/>
        <w:spacing w:before="6"/>
      </w:pPr>
    </w:p>
    <w:p w14:paraId="094E650F" w14:textId="77777777" w:rsidR="00F26846" w:rsidRDefault="007A4A78" w:rsidP="00727A40">
      <w:pPr>
        <w:pStyle w:val="Balk1"/>
        <w:jc w:val="center"/>
      </w:pPr>
      <w:r>
        <w:t>Validness</w:t>
      </w:r>
    </w:p>
    <w:p w14:paraId="1F87B011" w14:textId="77777777" w:rsidR="00F26846" w:rsidRDefault="00F26846">
      <w:pPr>
        <w:pStyle w:val="GvdeMetni"/>
        <w:spacing w:before="11"/>
        <w:rPr>
          <w:b/>
          <w:sz w:val="23"/>
        </w:rPr>
      </w:pPr>
    </w:p>
    <w:p w14:paraId="337A37D2" w14:textId="05998845" w:rsidR="00F26846" w:rsidRDefault="007A4A78">
      <w:pPr>
        <w:pStyle w:val="GvdeMetni"/>
        <w:ind w:left="117" w:right="112" w:firstLine="708"/>
        <w:jc w:val="both"/>
      </w:pPr>
      <w:r>
        <w:rPr>
          <w:b/>
        </w:rPr>
        <w:t xml:space="preserve">ARTICLE 7 - </w:t>
      </w:r>
      <w:r>
        <w:t>(1) This Instruction enters into force on the date accepted by the Istanbul Medipol University Senate.</w:t>
      </w:r>
    </w:p>
    <w:p w14:paraId="72BC3D3E" w14:textId="77777777" w:rsidR="00F26846" w:rsidRDefault="00F26846">
      <w:pPr>
        <w:pStyle w:val="GvdeMetni"/>
        <w:spacing w:before="7"/>
      </w:pPr>
    </w:p>
    <w:p w14:paraId="3A865814" w14:textId="77777777" w:rsidR="00F26846" w:rsidRDefault="007A4A78" w:rsidP="00727A40">
      <w:pPr>
        <w:pStyle w:val="Balk1"/>
        <w:ind w:left="826"/>
        <w:jc w:val="center"/>
      </w:pPr>
      <w:r>
        <w:t>Cases Without Provisions</w:t>
      </w:r>
    </w:p>
    <w:p w14:paraId="4EEDC81D" w14:textId="001A0ECA" w:rsidR="00F26846" w:rsidRDefault="007A4A78">
      <w:pPr>
        <w:pStyle w:val="GvdeMetni"/>
        <w:spacing w:before="38" w:line="276" w:lineRule="auto"/>
        <w:ind w:left="117" w:right="115" w:firstLine="708"/>
        <w:jc w:val="both"/>
      </w:pPr>
      <w:r>
        <w:rPr>
          <w:b/>
        </w:rPr>
        <w:t xml:space="preserve">ARTICLE 8 – </w:t>
      </w:r>
      <w:r>
        <w:t xml:space="preserve">(1) In cases where there is no provision in this Instruction, </w:t>
      </w:r>
      <w:r w:rsidR="00E94CA1">
        <w:t>Istanbul Medipol University Associate and Undergraduate Education Regulations</w:t>
      </w:r>
      <w:r>
        <w:t xml:space="preserve"> and other relevant legislation are applied.</w:t>
      </w:r>
    </w:p>
    <w:p w14:paraId="1322DA01" w14:textId="77777777" w:rsidR="00F26846" w:rsidRDefault="00F26846">
      <w:pPr>
        <w:pStyle w:val="GvdeMetni"/>
        <w:spacing w:before="7"/>
      </w:pPr>
    </w:p>
    <w:p w14:paraId="3B120732" w14:textId="77777777" w:rsidR="00F26846" w:rsidRDefault="007A4A78" w:rsidP="00727A40">
      <w:pPr>
        <w:pStyle w:val="Balk1"/>
        <w:spacing w:before="1"/>
        <w:jc w:val="center"/>
      </w:pPr>
      <w:r>
        <w:t>Execution</w:t>
      </w:r>
    </w:p>
    <w:p w14:paraId="3DAAD0CC" w14:textId="77777777" w:rsidR="00F26846" w:rsidRDefault="00F26846">
      <w:pPr>
        <w:pStyle w:val="GvdeMetni"/>
        <w:rPr>
          <w:b/>
        </w:rPr>
      </w:pPr>
    </w:p>
    <w:p w14:paraId="5D18EE76" w14:textId="6E0D77C9" w:rsidR="00F26846" w:rsidRDefault="007A4A78">
      <w:pPr>
        <w:pStyle w:val="GvdeMetni"/>
        <w:ind w:left="117" w:right="110" w:firstLine="708"/>
        <w:jc w:val="both"/>
      </w:pPr>
      <w:r>
        <w:rPr>
          <w:b/>
        </w:rPr>
        <w:t xml:space="preserve">ARTICLE 9 - </w:t>
      </w:r>
      <w:r>
        <w:t>(1) The provisions of this Instruction are implemented by the Dean of the School of Health Sciences.</w:t>
      </w:r>
    </w:p>
    <w:p w14:paraId="2081023B" w14:textId="77777777" w:rsidR="00F26846" w:rsidRDefault="00F26846">
      <w:pPr>
        <w:pStyle w:val="GvdeMetni"/>
        <w:spacing w:before="7"/>
      </w:pPr>
    </w:p>
    <w:p w14:paraId="103F515A" w14:textId="28D3A080" w:rsidR="00F26846" w:rsidRDefault="007A4A78" w:rsidP="00727A40">
      <w:pPr>
        <w:pStyle w:val="Balk1"/>
        <w:jc w:val="center"/>
      </w:pPr>
      <w:r>
        <w:t>Abolishment</w:t>
      </w:r>
    </w:p>
    <w:p w14:paraId="68209AD9" w14:textId="77777777" w:rsidR="00F26846" w:rsidRDefault="00F26846">
      <w:pPr>
        <w:pStyle w:val="GvdeMetni"/>
        <w:spacing w:before="11"/>
        <w:rPr>
          <w:b/>
          <w:sz w:val="23"/>
        </w:rPr>
      </w:pPr>
    </w:p>
    <w:p w14:paraId="45E156AA" w14:textId="48C7DF8D" w:rsidR="00F26846" w:rsidRDefault="007A4A78">
      <w:pPr>
        <w:pStyle w:val="GvdeMetni"/>
        <w:ind w:left="117" w:right="112" w:firstLine="708"/>
        <w:jc w:val="both"/>
      </w:pPr>
      <w:r>
        <w:rPr>
          <w:b/>
        </w:rPr>
        <w:t xml:space="preserve">ARTICLE 10 – </w:t>
      </w:r>
      <w:r>
        <w:t>(1) The “</w:t>
      </w:r>
      <w:r w:rsidR="003505D9">
        <w:t>School of</w:t>
      </w:r>
      <w:r>
        <w:t xml:space="preserve"> Health Sciences</w:t>
      </w:r>
      <w:r w:rsidR="00C15D6A">
        <w:t xml:space="preserve"> Education</w:t>
      </w:r>
      <w:r>
        <w:t xml:space="preserve"> Instruction ” adopted by the University Senate's decision dated 30.11.2010 and numbered 2010/4-3 has been repealed.</w:t>
      </w:r>
    </w:p>
    <w:p w14:paraId="70C69DCF" w14:textId="77777777" w:rsidR="00F26846" w:rsidRDefault="00F26846">
      <w:pPr>
        <w:pStyle w:val="GvdeMetni"/>
        <w:spacing w:before="3"/>
      </w:pPr>
    </w:p>
    <w:p w14:paraId="0EA0F72D" w14:textId="77777777" w:rsidR="004E485A" w:rsidRDefault="004E485A">
      <w:pPr>
        <w:pStyle w:val="GvdeMetni"/>
        <w:ind w:left="177"/>
      </w:pPr>
    </w:p>
    <w:p w14:paraId="50373F41" w14:textId="10A74EC2" w:rsidR="00F26846" w:rsidRDefault="004E485A">
      <w:pPr>
        <w:pStyle w:val="GvdeMetni"/>
        <w:ind w:left="177"/>
      </w:pPr>
      <w:r>
        <w:t xml:space="preserve"> </w:t>
      </w:r>
      <w:r w:rsidR="007A4A78">
        <w:t>* It was accepted by the University Senate's decisi</w:t>
      </w:r>
      <w:r>
        <w:t>on dated 11/09/2012 and numbered</w:t>
      </w:r>
      <w:r w:rsidR="00734270">
        <w:t xml:space="preserve"> </w:t>
      </w:r>
      <w:r w:rsidR="007A4A78">
        <w:t>2012/171.</w:t>
      </w:r>
    </w:p>
    <w:sectPr w:rsidR="00F26846">
      <w:footerReference w:type="default" r:id="rId7"/>
      <w:pgSz w:w="11910" w:h="16840"/>
      <w:pgMar w:top="1320" w:right="1300" w:bottom="1200" w:left="130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3A197" w14:textId="77777777" w:rsidR="006B423E" w:rsidRDefault="006B423E">
      <w:r>
        <w:separator/>
      </w:r>
    </w:p>
  </w:endnote>
  <w:endnote w:type="continuationSeparator" w:id="0">
    <w:p w14:paraId="55CAC10A" w14:textId="77777777" w:rsidR="006B423E" w:rsidRDefault="006B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46A6" w14:textId="77777777" w:rsidR="00F26846" w:rsidRDefault="007A4A78">
    <w:pPr>
      <w:pStyle w:val="GvdeMetni"/>
      <w:spacing w:line="14" w:lineRule="auto"/>
      <w:rPr>
        <w:sz w:val="20"/>
      </w:rPr>
    </w:pPr>
    <w:r>
      <w:rPr>
        <w:noProof/>
      </w:rPr>
      <mc:AlternateContent>
        <mc:Choice Requires="wps">
          <w:drawing>
            <wp:anchor distT="0" distB="0" distL="114300" distR="114300" simplePos="0" relativeHeight="251657728" behindDoc="1" locked="0" layoutInCell="1" allowOverlap="1" wp14:anchorId="15B9471E" wp14:editId="7FEA0F5A">
              <wp:simplePos x="0" y="0"/>
              <wp:positionH relativeFrom="page">
                <wp:posOffset>3719830</wp:posOffset>
              </wp:positionH>
              <wp:positionV relativeFrom="page">
                <wp:posOffset>9917430</wp:posOffset>
              </wp:positionV>
              <wp:extent cx="121920" cy="165100"/>
              <wp:effectExtent l="0" t="1905"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DCF21" w14:textId="77777777" w:rsidR="00F26846" w:rsidRDefault="007A4A78">
                          <w:pPr>
                            <w:spacing w:line="244" w:lineRule="exact"/>
                            <w:ind w:left="40"/>
                            <w:rPr>
                              <w:rFonts w:ascii="Calibri"/>
                            </w:rPr>
                          </w:pPr>
                          <w:r>
                            <w:fldChar w:fldCharType="begin"/>
                          </w:r>
                          <w:r>
                            <w:rPr>
                              <w:rFonts w:ascii="Calibri"/>
                            </w:rPr>
                            <w:instrText xml:space="preserve"> PAGE </w:instrText>
                          </w:r>
                          <w:r>
                            <w:fldChar w:fldCharType="separate"/>
                          </w:r>
                          <w:r w:rsidR="00DE5BBA">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9471E" id="_x0000_t202" coordsize="21600,21600" o:spt="202" path="m,l,21600r21600,l21600,xe">
              <v:stroke joinstyle="miter"/>
              <v:path gradientshapeok="t" o:connecttype="rect"/>
            </v:shapetype>
            <v:shape id="Text Box 1" o:spid="_x0000_s1026" type="#_x0000_t202" style="position:absolute;margin-left:292.9pt;margin-top:780.9pt;width:9.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" filled="f" stroked="f">
              <v:textbox inset="0,0,0,0">
                <w:txbxContent>
                  <w:p w14:paraId="0C7DCF21" w14:textId="77777777" w:rsidR="00F26846" w:rsidRDefault="007A4A78">
                    <w:pPr>
                      <w:spacing w:line="244" w:lineRule="exact"/>
                      <w:ind w:left="40"/>
                      <w:rPr>
                        <w:rFonts w:ascii="Calibri"/>
                      </w:rPr>
                    </w:pPr>
                    <w:r>
                      <w:fldChar w:fldCharType="begin"/>
                    </w:r>
                    <w:r>
                      <w:rPr>
                        <w:rFonts w:ascii="Calibri"/>
                      </w:rPr>
                      <w:instrText xml:space="preserve"> PAGE </w:instrText>
                    </w:r>
                    <w:r>
                      <w:fldChar w:fldCharType="separate"/>
                    </w:r>
                    <w:r w:rsidR="00DE5BBA">
                      <w:rPr>
                        <w:rFonts w:ascii="Calibri"/>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7374A" w14:textId="77777777" w:rsidR="006B423E" w:rsidRDefault="006B423E">
      <w:r>
        <w:separator/>
      </w:r>
    </w:p>
  </w:footnote>
  <w:footnote w:type="continuationSeparator" w:id="0">
    <w:p w14:paraId="1833804C" w14:textId="77777777" w:rsidR="006B423E" w:rsidRDefault="006B4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0C40"/>
    <w:multiLevelType w:val="hybridMultilevel"/>
    <w:tmpl w:val="34786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EC5C44"/>
    <w:multiLevelType w:val="hybridMultilevel"/>
    <w:tmpl w:val="DF2AF302"/>
    <w:lvl w:ilvl="0" w:tplc="1C3205C0">
      <w:start w:val="1"/>
      <w:numFmt w:val="lowerLetter"/>
      <w:lvlText w:val="%1)"/>
      <w:lvlJc w:val="left"/>
      <w:pPr>
        <w:ind w:left="1185" w:hanging="360"/>
        <w:jc w:val="left"/>
      </w:pPr>
      <w:rPr>
        <w:rFonts w:ascii="Times New Roman" w:eastAsia="Times New Roman" w:hAnsi="Times New Roman" w:cs="Times New Roman" w:hint="default"/>
        <w:spacing w:val="-12"/>
        <w:w w:val="99"/>
        <w:sz w:val="24"/>
        <w:szCs w:val="24"/>
      </w:rPr>
    </w:lvl>
    <w:lvl w:ilvl="1" w:tplc="D49E3CDA">
      <w:numFmt w:val="bullet"/>
      <w:lvlText w:val="•"/>
      <w:lvlJc w:val="left"/>
      <w:pPr>
        <w:ind w:left="1992" w:hanging="360"/>
      </w:pPr>
      <w:rPr>
        <w:rFonts w:hint="default"/>
      </w:rPr>
    </w:lvl>
    <w:lvl w:ilvl="2" w:tplc="E1565F24">
      <w:numFmt w:val="bullet"/>
      <w:lvlText w:val="•"/>
      <w:lvlJc w:val="left"/>
      <w:pPr>
        <w:ind w:left="2805" w:hanging="360"/>
      </w:pPr>
      <w:rPr>
        <w:rFonts w:hint="default"/>
      </w:rPr>
    </w:lvl>
    <w:lvl w:ilvl="3" w:tplc="52668D1A">
      <w:numFmt w:val="bullet"/>
      <w:lvlText w:val="•"/>
      <w:lvlJc w:val="left"/>
      <w:pPr>
        <w:ind w:left="3617" w:hanging="360"/>
      </w:pPr>
      <w:rPr>
        <w:rFonts w:hint="default"/>
      </w:rPr>
    </w:lvl>
    <w:lvl w:ilvl="4" w:tplc="A3B017EE">
      <w:numFmt w:val="bullet"/>
      <w:lvlText w:val="•"/>
      <w:lvlJc w:val="left"/>
      <w:pPr>
        <w:ind w:left="4430" w:hanging="360"/>
      </w:pPr>
      <w:rPr>
        <w:rFonts w:hint="default"/>
      </w:rPr>
    </w:lvl>
    <w:lvl w:ilvl="5" w:tplc="7C6EEEF6">
      <w:numFmt w:val="bullet"/>
      <w:lvlText w:val="•"/>
      <w:lvlJc w:val="left"/>
      <w:pPr>
        <w:ind w:left="5243" w:hanging="360"/>
      </w:pPr>
      <w:rPr>
        <w:rFonts w:hint="default"/>
      </w:rPr>
    </w:lvl>
    <w:lvl w:ilvl="6" w:tplc="023295F4">
      <w:numFmt w:val="bullet"/>
      <w:lvlText w:val="•"/>
      <w:lvlJc w:val="left"/>
      <w:pPr>
        <w:ind w:left="6055" w:hanging="360"/>
      </w:pPr>
      <w:rPr>
        <w:rFonts w:hint="default"/>
      </w:rPr>
    </w:lvl>
    <w:lvl w:ilvl="7" w:tplc="1ABC06FE">
      <w:numFmt w:val="bullet"/>
      <w:lvlText w:val="•"/>
      <w:lvlJc w:val="left"/>
      <w:pPr>
        <w:ind w:left="6868" w:hanging="360"/>
      </w:pPr>
      <w:rPr>
        <w:rFonts w:hint="default"/>
      </w:rPr>
    </w:lvl>
    <w:lvl w:ilvl="8" w:tplc="B3822D16">
      <w:numFmt w:val="bullet"/>
      <w:lvlText w:val="•"/>
      <w:lvlJc w:val="left"/>
      <w:pPr>
        <w:ind w:left="7681" w:hanging="360"/>
      </w:pPr>
      <w:rPr>
        <w:rFonts w:hint="default"/>
      </w:rPr>
    </w:lvl>
  </w:abstractNum>
  <w:abstractNum w:abstractNumId="2" w15:restartNumberingAfterBreak="0">
    <w:nsid w:val="4D365DC1"/>
    <w:multiLevelType w:val="hybridMultilevel"/>
    <w:tmpl w:val="E188CC1C"/>
    <w:lvl w:ilvl="0" w:tplc="D22A3C62">
      <w:start w:val="2"/>
      <w:numFmt w:val="decimal"/>
      <w:lvlText w:val="(%1)"/>
      <w:lvlJc w:val="left"/>
      <w:pPr>
        <w:ind w:left="117" w:hanging="359"/>
        <w:jc w:val="left"/>
      </w:pPr>
      <w:rPr>
        <w:rFonts w:ascii="Times New Roman" w:eastAsia="Times New Roman" w:hAnsi="Times New Roman" w:cs="Times New Roman" w:hint="default"/>
        <w:w w:val="100"/>
        <w:sz w:val="24"/>
        <w:szCs w:val="24"/>
      </w:rPr>
    </w:lvl>
    <w:lvl w:ilvl="1" w:tplc="F68292F2">
      <w:numFmt w:val="bullet"/>
      <w:lvlText w:val="•"/>
      <w:lvlJc w:val="left"/>
      <w:pPr>
        <w:ind w:left="1038" w:hanging="359"/>
      </w:pPr>
      <w:rPr>
        <w:rFonts w:hint="default"/>
      </w:rPr>
    </w:lvl>
    <w:lvl w:ilvl="2" w:tplc="FBC8CD08">
      <w:numFmt w:val="bullet"/>
      <w:lvlText w:val="•"/>
      <w:lvlJc w:val="left"/>
      <w:pPr>
        <w:ind w:left="1957" w:hanging="359"/>
      </w:pPr>
      <w:rPr>
        <w:rFonts w:hint="default"/>
      </w:rPr>
    </w:lvl>
    <w:lvl w:ilvl="3" w:tplc="368274A0">
      <w:numFmt w:val="bullet"/>
      <w:lvlText w:val="•"/>
      <w:lvlJc w:val="left"/>
      <w:pPr>
        <w:ind w:left="2875" w:hanging="359"/>
      </w:pPr>
      <w:rPr>
        <w:rFonts w:hint="default"/>
      </w:rPr>
    </w:lvl>
    <w:lvl w:ilvl="4" w:tplc="C046B900">
      <w:numFmt w:val="bullet"/>
      <w:lvlText w:val="•"/>
      <w:lvlJc w:val="left"/>
      <w:pPr>
        <w:ind w:left="3794" w:hanging="359"/>
      </w:pPr>
      <w:rPr>
        <w:rFonts w:hint="default"/>
      </w:rPr>
    </w:lvl>
    <w:lvl w:ilvl="5" w:tplc="CDAA8678">
      <w:numFmt w:val="bullet"/>
      <w:lvlText w:val="•"/>
      <w:lvlJc w:val="left"/>
      <w:pPr>
        <w:ind w:left="4713" w:hanging="359"/>
      </w:pPr>
      <w:rPr>
        <w:rFonts w:hint="default"/>
      </w:rPr>
    </w:lvl>
    <w:lvl w:ilvl="6" w:tplc="20EA0566">
      <w:numFmt w:val="bullet"/>
      <w:lvlText w:val="•"/>
      <w:lvlJc w:val="left"/>
      <w:pPr>
        <w:ind w:left="5631" w:hanging="359"/>
      </w:pPr>
      <w:rPr>
        <w:rFonts w:hint="default"/>
      </w:rPr>
    </w:lvl>
    <w:lvl w:ilvl="7" w:tplc="7C147FF6">
      <w:numFmt w:val="bullet"/>
      <w:lvlText w:val="•"/>
      <w:lvlJc w:val="left"/>
      <w:pPr>
        <w:ind w:left="6550" w:hanging="359"/>
      </w:pPr>
      <w:rPr>
        <w:rFonts w:hint="default"/>
      </w:rPr>
    </w:lvl>
    <w:lvl w:ilvl="8" w:tplc="6908B592">
      <w:numFmt w:val="bullet"/>
      <w:lvlText w:val="•"/>
      <w:lvlJc w:val="left"/>
      <w:pPr>
        <w:ind w:left="7469" w:hanging="359"/>
      </w:pPr>
      <w:rPr>
        <w:rFonts w:hint="default"/>
      </w:rPr>
    </w:lvl>
  </w:abstractNum>
  <w:abstractNum w:abstractNumId="3" w15:restartNumberingAfterBreak="0">
    <w:nsid w:val="666F7946"/>
    <w:multiLevelType w:val="hybridMultilevel"/>
    <w:tmpl w:val="87E845F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1MDcwsTA1NDU1MzJV0lEKTi0uzszPAykwqwUA6Ye/bCwAAAA="/>
  </w:docVars>
  <w:rsids>
    <w:rsidRoot w:val="00E94E19"/>
    <w:rsid w:val="00000A51"/>
    <w:rsid w:val="00041495"/>
    <w:rsid w:val="002B29BA"/>
    <w:rsid w:val="00340A27"/>
    <w:rsid w:val="003505D9"/>
    <w:rsid w:val="003A0FAC"/>
    <w:rsid w:val="00414D49"/>
    <w:rsid w:val="004E485A"/>
    <w:rsid w:val="005D7BF3"/>
    <w:rsid w:val="006B423E"/>
    <w:rsid w:val="00727A40"/>
    <w:rsid w:val="00730480"/>
    <w:rsid w:val="00734270"/>
    <w:rsid w:val="00776419"/>
    <w:rsid w:val="007A4A78"/>
    <w:rsid w:val="00BE7C78"/>
    <w:rsid w:val="00C15D6A"/>
    <w:rsid w:val="00DE5BBA"/>
    <w:rsid w:val="00E94CA1"/>
    <w:rsid w:val="00E94E19"/>
    <w:rsid w:val="00F26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E5BD5A"/>
  <w15:docId w15:val="{1D525F34-90A0-421F-AB16-BA67949A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tr-TR" w:eastAsia="tr-TR"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825"/>
      <w:outlineLvl w:val="0"/>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rPr>
  </w:style>
  <w:style w:type="paragraph" w:styleId="ListeParagraf">
    <w:name w:val="List Paragraph"/>
    <w:basedOn w:val="Normal"/>
    <w:uiPriority w:val="1"/>
    <w:qFormat/>
    <w:pPr>
      <w:ind w:left="117" w:firstLine="708"/>
      <w:jc w:val="both"/>
    </w:pPr>
  </w:style>
  <w:style w:type="paragraph" w:customStyle="1" w:styleId="TableParagraph">
    <w:name w:val="Table Paragraph"/>
    <w:basedOn w:val="Normal"/>
    <w:uiPriority w:val="1"/>
    <w:qFormat/>
  </w:style>
  <w:style w:type="paragraph" w:customStyle="1" w:styleId="P68B1DB1-Normal1">
    <w:name w:val="P68B1DB1-Normal1"/>
    <w:basedOn w:val="Normal"/>
    <w:rPr>
      <w:b/>
      <w:sz w:val="24"/>
    </w:rPr>
  </w:style>
  <w:style w:type="paragraph" w:customStyle="1" w:styleId="P68B1DB1-ListeParagraf2">
    <w:name w:val="P68B1DB1-ListeParagraf2"/>
    <w:basedOn w:val="ListeParagra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Erdoğan KUNTER</dc:creator>
  <cp:lastModifiedBy>Şebnem GÜNGÖR</cp:lastModifiedBy>
  <cp:revision>2</cp:revision>
  <dcterms:created xsi:type="dcterms:W3CDTF">2021-10-20T11:39:00Z</dcterms:created>
  <dcterms:modified xsi:type="dcterms:W3CDTF">2021-10-20T11:39:00Z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2012-10-23T00:00:00Z</vt:filetime>
  </property>
  <property fmtid="{D5CDD505-2E9C-101B-9397-08002B2CF9AE}" pid="3" name="Creator">
    <vt:lpwstr>Microsoft® Word 2010</vt:lpwstr>
  </property>
  <property fmtid="{D5CDD505-2E9C-101B-9397-08002B2CF9AE}" pid="4" name="LastSaved">
    <vt:filetime>2021-06-10T00:00:00Z</vt:filetime>
  </property>
</Properties>
</file>