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36B" w14:textId="36B3A88E" w:rsidR="007E0D86" w:rsidRPr="00417AE6" w:rsidRDefault="006E5E52" w:rsidP="00417AE6">
      <w:pPr>
        <w:pStyle w:val="Balk1"/>
        <w:spacing w:before="66" w:line="360" w:lineRule="auto"/>
        <w:ind w:left="4623" w:right="4203"/>
        <w:jc w:val="center"/>
      </w:pPr>
      <w:r>
        <w:t>T.C.</w:t>
      </w:r>
    </w:p>
    <w:p w14:paraId="1CD49483" w14:textId="77777777" w:rsidR="00692307" w:rsidRDefault="006E5E52" w:rsidP="00417AE6">
      <w:pPr>
        <w:pStyle w:val="P68B1DB1-Normal1"/>
        <w:spacing w:line="360" w:lineRule="auto"/>
        <w:ind w:left="2610" w:right="2329" w:firstLine="146"/>
        <w:jc w:val="center"/>
      </w:pPr>
      <w:r>
        <w:t>ISTANBUL MEDIPOL UNI</w:t>
      </w:r>
      <w:r w:rsidR="0015166F">
        <w:t xml:space="preserve">VERSITY </w:t>
      </w:r>
      <w:r w:rsidR="00692307">
        <w:t xml:space="preserve">SCHOOL OF </w:t>
      </w:r>
      <w:r w:rsidR="0015166F">
        <w:t xml:space="preserve">BUSINESS </w:t>
      </w:r>
    </w:p>
    <w:p w14:paraId="1CF75062" w14:textId="12D4D882" w:rsidR="007E0D86" w:rsidRDefault="00692307" w:rsidP="00417AE6">
      <w:pPr>
        <w:pStyle w:val="P68B1DB1-Normal1"/>
        <w:spacing w:line="360" w:lineRule="auto"/>
        <w:ind w:left="2610" w:right="2329" w:firstLine="146"/>
        <w:jc w:val="center"/>
      </w:pPr>
      <w:r>
        <w:t>E</w:t>
      </w:r>
      <w:r w:rsidR="006E5E52">
        <w:t>DUCATION AND EXAM INSTRUCTION</w:t>
      </w:r>
    </w:p>
    <w:p w14:paraId="56D37147" w14:textId="77777777" w:rsidR="007E0D86" w:rsidRDefault="007E0D86">
      <w:pPr>
        <w:pStyle w:val="GvdeMetni"/>
        <w:rPr>
          <w:b/>
          <w:sz w:val="26"/>
        </w:rPr>
      </w:pPr>
    </w:p>
    <w:p w14:paraId="08AD9B0C" w14:textId="77777777" w:rsidR="007E0D86" w:rsidRDefault="007E0D86">
      <w:pPr>
        <w:pStyle w:val="GvdeMetni"/>
        <w:rPr>
          <w:b/>
          <w:sz w:val="26"/>
        </w:rPr>
      </w:pPr>
    </w:p>
    <w:p w14:paraId="0721BE34" w14:textId="77777777" w:rsidR="007E0D86" w:rsidRDefault="006E5E52" w:rsidP="00417AE6">
      <w:pPr>
        <w:pStyle w:val="P68B1DB1-Normal1"/>
        <w:spacing w:before="169"/>
        <w:ind w:left="939"/>
        <w:jc w:val="center"/>
      </w:pPr>
      <w:proofErr w:type="spellStart"/>
      <w:r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</w:p>
    <w:p w14:paraId="348A9620" w14:textId="77777777" w:rsidR="007E0D86" w:rsidRPr="006C2261" w:rsidRDefault="007E0D86">
      <w:pPr>
        <w:pStyle w:val="GvdeMetni"/>
        <w:spacing w:before="8"/>
        <w:rPr>
          <w:b/>
          <w:bCs/>
          <w:sz w:val="31"/>
        </w:rPr>
      </w:pPr>
    </w:p>
    <w:p w14:paraId="43AE1D2C" w14:textId="1E776B00" w:rsidR="007E0D86" w:rsidRDefault="006E5E52">
      <w:pPr>
        <w:pStyle w:val="GvdeMetni"/>
        <w:spacing w:line="276" w:lineRule="auto"/>
        <w:ind w:left="231" w:right="231" w:firstLine="707"/>
        <w:jc w:val="both"/>
      </w:pPr>
      <w:r w:rsidRPr="006C2261">
        <w:rPr>
          <w:b/>
          <w:bCs/>
        </w:rPr>
        <w:t xml:space="preserve">ARTICLE </w:t>
      </w:r>
      <w:proofErr w:type="gramStart"/>
      <w:r w:rsidRPr="006C2261">
        <w:rPr>
          <w:b/>
          <w:bCs/>
        </w:rPr>
        <w:t>1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 w:rsidR="00692307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="0044600B">
        <w:t>i</w:t>
      </w:r>
      <w:r>
        <w:t>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School of Business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09A1E8C5" w14:textId="77777777" w:rsidR="007E0D86" w:rsidRDefault="006E5E52" w:rsidP="00417AE6">
      <w:pPr>
        <w:pStyle w:val="Balk1"/>
        <w:spacing w:before="207"/>
        <w:jc w:val="center"/>
      </w:pPr>
      <w:r>
        <w:t>Base</w:t>
      </w:r>
    </w:p>
    <w:p w14:paraId="236B817E" w14:textId="77777777" w:rsidR="007E0D86" w:rsidRDefault="007E0D86">
      <w:pPr>
        <w:pStyle w:val="GvdeMetni"/>
        <w:spacing w:before="5"/>
        <w:rPr>
          <w:b/>
          <w:sz w:val="31"/>
        </w:rPr>
      </w:pPr>
    </w:p>
    <w:p w14:paraId="6E5393E4" w14:textId="61FAC83B" w:rsidR="007E0D86" w:rsidRDefault="006E5E52">
      <w:pPr>
        <w:pStyle w:val="GvdeMetni"/>
        <w:spacing w:line="276" w:lineRule="auto"/>
        <w:ind w:left="231" w:right="234" w:firstLine="707"/>
        <w:jc w:val="both"/>
      </w:pPr>
      <w:r w:rsidRPr="006C2261">
        <w:rPr>
          <w:b/>
          <w:bCs/>
        </w:rPr>
        <w:t xml:space="preserve">ARTICLE </w:t>
      </w:r>
      <w:proofErr w:type="gramStart"/>
      <w:r w:rsidRPr="006C2261">
        <w:rPr>
          <w:b/>
          <w:bCs/>
        </w:rPr>
        <w:t>2</w:t>
      </w:r>
      <w:r>
        <w:t xml:space="preserve"> -</w:t>
      </w:r>
      <w:proofErr w:type="gramEnd"/>
      <w: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44600B">
        <w:t>based</w:t>
      </w:r>
      <w:proofErr w:type="spellEnd"/>
      <w:r w:rsidR="0044600B">
        <w:t xml:space="preserve"> on</w:t>
      </w:r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 w:rsidR="00E55AF2">
        <w:t>Istanbul</w:t>
      </w:r>
      <w:proofErr w:type="spellEnd"/>
      <w:r w:rsidR="00E55AF2">
        <w:t xml:space="preserve"> </w:t>
      </w:r>
      <w:proofErr w:type="spellStart"/>
      <w:r w:rsidR="00E55AF2">
        <w:t>Medipol</w:t>
      </w:r>
      <w:proofErr w:type="spellEnd"/>
      <w:r w:rsidR="00E55AF2">
        <w:t xml:space="preserve"> </w:t>
      </w:r>
      <w:proofErr w:type="spellStart"/>
      <w:r w:rsidR="00E55AF2">
        <w:t>University</w:t>
      </w:r>
      <w:proofErr w:type="spellEnd"/>
      <w:r w:rsidR="00E55AF2">
        <w:t xml:space="preserve"> </w:t>
      </w:r>
      <w:proofErr w:type="spellStart"/>
      <w:r w:rsidR="00E55AF2">
        <w:t>Associate</w:t>
      </w:r>
      <w:proofErr w:type="spellEnd"/>
      <w:r w:rsidR="00E55AF2">
        <w:t xml:space="preserve"> </w:t>
      </w:r>
      <w:proofErr w:type="spellStart"/>
      <w:r w:rsidR="00E55AF2">
        <w:t>and</w:t>
      </w:r>
      <w:proofErr w:type="spellEnd"/>
      <w:r w:rsidR="00E55AF2">
        <w:t xml:space="preserve"> </w:t>
      </w:r>
      <w:proofErr w:type="spellStart"/>
      <w:r w:rsidR="00E55AF2">
        <w:t>Undergraduate</w:t>
      </w:r>
      <w:proofErr w:type="spellEnd"/>
      <w:r w:rsidR="00E55AF2">
        <w:t xml:space="preserve"> </w:t>
      </w:r>
      <w:proofErr w:type="spellStart"/>
      <w:r w:rsidR="00E55AF2">
        <w:t>Education</w:t>
      </w:r>
      <w:proofErr w:type="spellEnd"/>
      <w:r w:rsidR="00E55AF2">
        <w:t xml:space="preserve"> </w:t>
      </w:r>
      <w:proofErr w:type="spellStart"/>
      <w:r w:rsidR="00E55AF2">
        <w:t>Regulations</w:t>
      </w:r>
      <w:proofErr w:type="spellEnd"/>
      <w:r>
        <w:t xml:space="preserve">”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8 </w:t>
      </w:r>
      <w:proofErr w:type="spellStart"/>
      <w:r>
        <w:t>February</w:t>
      </w:r>
      <w:proofErr w:type="spellEnd"/>
      <w:r>
        <w:t xml:space="preserve"> 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29261.</w:t>
      </w:r>
    </w:p>
    <w:p w14:paraId="175D78DB" w14:textId="77777777" w:rsidR="007E0D86" w:rsidRDefault="006E5E52" w:rsidP="00417AE6">
      <w:pPr>
        <w:pStyle w:val="Balk1"/>
        <w:spacing w:before="206"/>
        <w:jc w:val="center"/>
      </w:pPr>
      <w:proofErr w:type="spellStart"/>
      <w:r>
        <w:t>Definitions</w:t>
      </w:r>
      <w:proofErr w:type="spellEnd"/>
    </w:p>
    <w:p w14:paraId="77F23A1A" w14:textId="77777777" w:rsidR="007E0D86" w:rsidRPr="006C2261" w:rsidRDefault="007E0D86">
      <w:pPr>
        <w:pStyle w:val="GvdeMetni"/>
        <w:spacing w:before="7"/>
        <w:rPr>
          <w:b/>
          <w:bCs/>
          <w:sz w:val="31"/>
        </w:rPr>
      </w:pPr>
    </w:p>
    <w:p w14:paraId="22AC01C4" w14:textId="63E431ED" w:rsidR="007E0D86" w:rsidRDefault="006E5E52">
      <w:pPr>
        <w:pStyle w:val="GvdeMetni"/>
        <w:ind w:left="939"/>
      </w:pPr>
      <w:r w:rsidRPr="006C2261">
        <w:rPr>
          <w:b/>
          <w:bCs/>
        </w:rPr>
        <w:t>ARTICLE 3</w:t>
      </w:r>
      <w:r>
        <w:t>- (1)</w:t>
      </w:r>
      <w:r w:rsidR="00692307">
        <w:t xml:space="preserve"> </w:t>
      </w:r>
      <w:proofErr w:type="spellStart"/>
      <w:r w:rsidR="00692307">
        <w:t>The</w:t>
      </w:r>
      <w:proofErr w:type="spellEnd"/>
      <w:r w:rsidR="00692307">
        <w:t xml:space="preserve"> </w:t>
      </w:r>
      <w:proofErr w:type="spellStart"/>
      <w:r w:rsidR="00692307">
        <w:t>definitions</w:t>
      </w:r>
      <w:proofErr w:type="spellEnd"/>
      <w:r w:rsidR="00692307">
        <w:t xml:space="preserve"> in </w:t>
      </w:r>
      <w:proofErr w:type="spellStart"/>
      <w:r w:rsidR="00692307">
        <w:t>this</w:t>
      </w:r>
      <w:proofErr w:type="spellEnd"/>
      <w:r w:rsidR="00692307">
        <w:t xml:space="preserve"> </w:t>
      </w:r>
      <w:proofErr w:type="spellStart"/>
      <w:r w:rsidR="00692307">
        <w:t>i</w:t>
      </w:r>
      <w:r>
        <w:t>nstruction</w:t>
      </w:r>
      <w:proofErr w:type="spellEnd"/>
      <w:r w:rsidR="00692307">
        <w:t xml:space="preserve"> </w:t>
      </w:r>
      <w:proofErr w:type="spellStart"/>
      <w:r w:rsidR="00692307">
        <w:t>refer</w:t>
      </w:r>
      <w:proofErr w:type="spellEnd"/>
      <w:r w:rsidR="00692307">
        <w:t xml:space="preserve"> </w:t>
      </w:r>
      <w:proofErr w:type="spellStart"/>
      <w:proofErr w:type="gramStart"/>
      <w:r w:rsidR="00692307">
        <w:t>to</w:t>
      </w:r>
      <w:proofErr w:type="spellEnd"/>
      <w:r>
        <w:t xml:space="preserve"> :</w:t>
      </w:r>
      <w:proofErr w:type="gramEnd"/>
    </w:p>
    <w:p w14:paraId="3BCC7BAB" w14:textId="77777777" w:rsidR="007E0D86" w:rsidRDefault="007E0D86">
      <w:pPr>
        <w:pStyle w:val="GvdeMetni"/>
        <w:spacing w:before="5"/>
        <w:rPr>
          <w:sz w:val="31"/>
        </w:rPr>
      </w:pPr>
    </w:p>
    <w:p w14:paraId="2EB12331" w14:textId="22A25FED" w:rsidR="007E0D86" w:rsidRDefault="00692307">
      <w:pPr>
        <w:pStyle w:val="P68B1DB1-ListeParagraf2"/>
        <w:numPr>
          <w:ilvl w:val="0"/>
          <w:numId w:val="7"/>
        </w:numPr>
        <w:tabs>
          <w:tab w:val="left" w:pos="1557"/>
        </w:tabs>
        <w:spacing w:line="273" w:lineRule="auto"/>
        <w:ind w:right="234"/>
        <w:jc w:val="both"/>
      </w:pPr>
      <w:r>
        <w:t xml:space="preserve">) </w:t>
      </w:r>
      <w:proofErr w:type="spellStart"/>
      <w:r w:rsidR="006E5E52">
        <w:t>European</w:t>
      </w:r>
      <w:proofErr w:type="spellEnd"/>
      <w:r w:rsidR="006E5E52">
        <w:t xml:space="preserve"> </w:t>
      </w:r>
      <w:proofErr w:type="spellStart"/>
      <w:r w:rsidR="006E5E52">
        <w:t>Credit</w:t>
      </w:r>
      <w:proofErr w:type="spellEnd"/>
      <w:r w:rsidR="006E5E52">
        <w:t xml:space="preserve"> Transfer </w:t>
      </w:r>
      <w:proofErr w:type="spellStart"/>
      <w:r w:rsidR="006E5E52">
        <w:t>System</w:t>
      </w:r>
      <w:proofErr w:type="spellEnd"/>
      <w:r w:rsidR="006E5E52">
        <w:t xml:space="preserve"> (ECTS): </w:t>
      </w:r>
      <w:proofErr w:type="spellStart"/>
      <w:r w:rsidR="006E5E52">
        <w:t>The</w:t>
      </w:r>
      <w:proofErr w:type="spellEnd"/>
      <w:r w:rsidR="006E5E52">
        <w:t xml:space="preserve"> </w:t>
      </w:r>
      <w:proofErr w:type="spellStart"/>
      <w:r w:rsidR="006E5E52">
        <w:t>credit</w:t>
      </w:r>
      <w:proofErr w:type="spellEnd"/>
      <w:r w:rsidR="006E5E52">
        <w:t xml:space="preserve"> </w:t>
      </w:r>
      <w:proofErr w:type="spellStart"/>
      <w:r w:rsidR="006E5E52">
        <w:t>that</w:t>
      </w:r>
      <w:proofErr w:type="spellEnd"/>
      <w:r w:rsidR="006E5E52">
        <w:t xml:space="preserve"> </w:t>
      </w:r>
      <w:proofErr w:type="spellStart"/>
      <w:r w:rsidR="006E5E52">
        <w:t>expresses</w:t>
      </w:r>
      <w:proofErr w:type="spellEnd"/>
      <w:r w:rsidR="006E5E52">
        <w:t xml:space="preserve"> </w:t>
      </w:r>
      <w:proofErr w:type="spellStart"/>
      <w:r w:rsidR="006E5E52">
        <w:t>all</w:t>
      </w:r>
      <w:proofErr w:type="spellEnd"/>
      <w:r w:rsidR="006E5E52">
        <w:t xml:space="preserve"> </w:t>
      </w:r>
      <w:proofErr w:type="spellStart"/>
      <w:r w:rsidR="006E5E52">
        <w:t>the</w:t>
      </w:r>
      <w:proofErr w:type="spellEnd"/>
      <w:r w:rsidR="006E5E52">
        <w:t xml:space="preserve"> </w:t>
      </w:r>
      <w:proofErr w:type="spellStart"/>
      <w:r w:rsidR="006E5E52">
        <w:t>work</w:t>
      </w:r>
      <w:proofErr w:type="spellEnd"/>
      <w:r w:rsidR="006E5E52">
        <w:t xml:space="preserve"> </w:t>
      </w:r>
      <w:proofErr w:type="spellStart"/>
      <w:r w:rsidR="006E5E52">
        <w:t>that</w:t>
      </w:r>
      <w:proofErr w:type="spellEnd"/>
      <w:r w:rsidR="006E5E52">
        <w:t xml:space="preserve"> </w:t>
      </w:r>
      <w:proofErr w:type="spellStart"/>
      <w:r w:rsidR="006E5E52">
        <w:t>the</w:t>
      </w:r>
      <w:proofErr w:type="spellEnd"/>
      <w:r w:rsidR="006E5E52">
        <w:t xml:space="preserve"> </w:t>
      </w:r>
      <w:proofErr w:type="spellStart"/>
      <w:r w:rsidR="006E5E52">
        <w:t>student</w:t>
      </w:r>
      <w:proofErr w:type="spellEnd"/>
      <w:r w:rsidR="006E5E52">
        <w:t xml:space="preserve"> has </w:t>
      </w:r>
      <w:proofErr w:type="spellStart"/>
      <w:r w:rsidR="006E5E52">
        <w:t>to</w:t>
      </w:r>
      <w:proofErr w:type="spellEnd"/>
      <w:r w:rsidR="006E5E52">
        <w:t xml:space="preserve"> do </w:t>
      </w:r>
      <w:proofErr w:type="spellStart"/>
      <w:r w:rsidR="006E5E52">
        <w:t>to</w:t>
      </w:r>
      <w:proofErr w:type="spellEnd"/>
      <w:r w:rsidR="006E5E52">
        <w:t xml:space="preserve"> </w:t>
      </w:r>
      <w:proofErr w:type="spellStart"/>
      <w:r w:rsidR="00B60D08">
        <w:t>complete</w:t>
      </w:r>
      <w:proofErr w:type="spellEnd"/>
      <w:r w:rsidR="00B60D08">
        <w:t xml:space="preserve"> a </w:t>
      </w:r>
      <w:proofErr w:type="spellStart"/>
      <w:r w:rsidR="00B60D08">
        <w:t>course</w:t>
      </w:r>
      <w:proofErr w:type="spellEnd"/>
      <w:r w:rsidR="00B60D08">
        <w:t xml:space="preserve"> </w:t>
      </w:r>
      <w:proofErr w:type="spellStart"/>
      <w:r w:rsidR="00B60D08">
        <w:t>successfully</w:t>
      </w:r>
      <w:proofErr w:type="spellEnd"/>
      <w:r w:rsidR="006E5E52">
        <w:t>,</w:t>
      </w:r>
    </w:p>
    <w:p w14:paraId="5C9FE0FF" w14:textId="2719C54F" w:rsidR="007E0D86" w:rsidRDefault="00692307">
      <w:pPr>
        <w:pStyle w:val="P68B1DB1-ListeParagraf2"/>
        <w:numPr>
          <w:ilvl w:val="0"/>
          <w:numId w:val="7"/>
        </w:numPr>
        <w:tabs>
          <w:tab w:val="left" w:pos="1557"/>
        </w:tabs>
        <w:spacing w:before="205"/>
      </w:pPr>
      <w:r>
        <w:t xml:space="preserve">) </w:t>
      </w:r>
      <w:r w:rsidR="006E5E52">
        <w:t xml:space="preserve">Dean: Dean of </w:t>
      </w:r>
      <w:proofErr w:type="spellStart"/>
      <w:r w:rsidR="006E5E52">
        <w:t>the</w:t>
      </w:r>
      <w:proofErr w:type="spellEnd"/>
      <w:r w:rsidR="006E5E52">
        <w:t xml:space="preserve"> School of Business </w:t>
      </w:r>
      <w:proofErr w:type="spellStart"/>
      <w:r w:rsidR="006E5E52">
        <w:t>and</w:t>
      </w:r>
      <w:proofErr w:type="spellEnd"/>
      <w:r w:rsidR="006E5E52">
        <w:t xml:space="preserve"> Management </w:t>
      </w:r>
      <w:proofErr w:type="spellStart"/>
      <w:r w:rsidR="006E5E52">
        <w:t>Sciences</w:t>
      </w:r>
      <w:proofErr w:type="spellEnd"/>
      <w:r w:rsidR="006E5E52">
        <w:t>,</w:t>
      </w:r>
    </w:p>
    <w:p w14:paraId="7C877A70" w14:textId="77777777" w:rsidR="007E0D86" w:rsidRDefault="007E0D86">
      <w:pPr>
        <w:pStyle w:val="GvdeMetni"/>
        <w:spacing w:before="3"/>
        <w:rPr>
          <w:sz w:val="31"/>
        </w:rPr>
      </w:pPr>
    </w:p>
    <w:p w14:paraId="747118CA" w14:textId="694F6D1C" w:rsidR="007E0D86" w:rsidRDefault="00692307">
      <w:pPr>
        <w:pStyle w:val="P68B1DB1-ListeParagraf2"/>
        <w:numPr>
          <w:ilvl w:val="0"/>
          <w:numId w:val="7"/>
        </w:numPr>
        <w:tabs>
          <w:tab w:val="left" w:pos="1557"/>
        </w:tabs>
      </w:pPr>
      <w:r>
        <w:t xml:space="preserve">) </w:t>
      </w:r>
      <w:r w:rsidR="006E5E52">
        <w:t xml:space="preserve">School: School of Business </w:t>
      </w:r>
      <w:proofErr w:type="spellStart"/>
      <w:r w:rsidR="006E5E52">
        <w:t>and</w:t>
      </w:r>
      <w:proofErr w:type="spellEnd"/>
      <w:r w:rsidR="006E5E52">
        <w:t xml:space="preserve"> Management </w:t>
      </w:r>
      <w:proofErr w:type="spellStart"/>
      <w:r w:rsidR="006E5E52">
        <w:t>Sciences</w:t>
      </w:r>
      <w:proofErr w:type="spellEnd"/>
      <w:r w:rsidR="006E5E52">
        <w:t>,</w:t>
      </w:r>
    </w:p>
    <w:p w14:paraId="31D0F232" w14:textId="77777777" w:rsidR="007E0D86" w:rsidRDefault="007E0D86">
      <w:pPr>
        <w:pStyle w:val="GvdeMetni"/>
        <w:spacing w:before="3"/>
        <w:rPr>
          <w:sz w:val="31"/>
        </w:rPr>
      </w:pPr>
    </w:p>
    <w:p w14:paraId="37E848E6" w14:textId="59F6BA21" w:rsidR="007E0D86" w:rsidRDefault="00692307">
      <w:pPr>
        <w:pStyle w:val="P68B1DB1-ListeParagraf2"/>
        <w:numPr>
          <w:ilvl w:val="0"/>
          <w:numId w:val="7"/>
        </w:numPr>
        <w:tabs>
          <w:tab w:val="left" w:pos="1557"/>
        </w:tabs>
      </w:pPr>
      <w:r>
        <w:t xml:space="preserve">) </w:t>
      </w:r>
      <w:proofErr w:type="spellStart"/>
      <w:r w:rsidR="006E5E52">
        <w:t>Administrative</w:t>
      </w:r>
      <w:proofErr w:type="spellEnd"/>
      <w:r w:rsidR="006E5E52">
        <w:t xml:space="preserve"> Board: </w:t>
      </w:r>
      <w:proofErr w:type="spellStart"/>
      <w:r w:rsidR="006E5E52">
        <w:t>Refers</w:t>
      </w:r>
      <w:proofErr w:type="spellEnd"/>
      <w:r w:rsidR="006E5E52">
        <w:t xml:space="preserve"> </w:t>
      </w:r>
      <w:proofErr w:type="spellStart"/>
      <w:r w:rsidR="006E5E52">
        <w:t>to</w:t>
      </w:r>
      <w:proofErr w:type="spellEnd"/>
      <w:r w:rsidR="006E5E52">
        <w:t xml:space="preserve"> </w:t>
      </w:r>
      <w:proofErr w:type="spellStart"/>
      <w:r w:rsidR="006E5E52">
        <w:t>the</w:t>
      </w:r>
      <w:proofErr w:type="spellEnd"/>
      <w:r w:rsidR="006E5E52">
        <w:t xml:space="preserve"> School </w:t>
      </w:r>
      <w:proofErr w:type="spellStart"/>
      <w:r w:rsidR="006E5E52">
        <w:t>Administrative</w:t>
      </w:r>
      <w:proofErr w:type="spellEnd"/>
      <w:r w:rsidR="006E5E52">
        <w:t xml:space="preserve"> Board.</w:t>
      </w:r>
    </w:p>
    <w:p w14:paraId="65416623" w14:textId="77777777" w:rsidR="007E0D86" w:rsidRDefault="007E0D86">
      <w:pPr>
        <w:pStyle w:val="GvdeMetni"/>
        <w:spacing w:before="7"/>
        <w:rPr>
          <w:sz w:val="31"/>
        </w:rPr>
      </w:pPr>
    </w:p>
    <w:p w14:paraId="18F82A9A" w14:textId="749736BE" w:rsidR="007E0D86" w:rsidRDefault="006E5E52" w:rsidP="00417AE6">
      <w:pPr>
        <w:pStyle w:val="Balk1"/>
        <w:spacing w:before="1"/>
        <w:jc w:val="center"/>
      </w:pPr>
      <w:proofErr w:type="spellStart"/>
      <w:r>
        <w:t>Education</w:t>
      </w:r>
      <w:proofErr w:type="spellEnd"/>
    </w:p>
    <w:p w14:paraId="03872047" w14:textId="77777777" w:rsidR="007E0D86" w:rsidRPr="006C2261" w:rsidRDefault="007E0D86">
      <w:pPr>
        <w:pStyle w:val="GvdeMetni"/>
        <w:spacing w:before="3"/>
        <w:rPr>
          <w:b/>
          <w:bCs/>
          <w:sz w:val="31"/>
        </w:rPr>
      </w:pPr>
    </w:p>
    <w:p w14:paraId="71EDFE76" w14:textId="539F8D1F" w:rsidR="007E0D86" w:rsidRDefault="006E5E52">
      <w:pPr>
        <w:pStyle w:val="GvdeMetni"/>
        <w:spacing w:line="276" w:lineRule="auto"/>
        <w:ind w:left="116" w:right="115" w:firstLine="719"/>
        <w:jc w:val="both"/>
      </w:pPr>
      <w:r w:rsidRPr="006C2261">
        <w:rPr>
          <w:b/>
          <w:bCs/>
        </w:rPr>
        <w:t>ARTICLE 4 –</w:t>
      </w:r>
      <w:r>
        <w:t xml:space="preserve">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 w:rsidR="00B60D08">
        <w:t>faculty</w:t>
      </w:r>
      <w:proofErr w:type="spellEnd"/>
      <w:r w:rsidR="00B60D08">
        <w:t xml:space="preserve"> </w:t>
      </w:r>
      <w:proofErr w:type="spellStart"/>
      <w:r w:rsidR="00B60D08">
        <w:t>departments</w:t>
      </w:r>
      <w:proofErr w:type="spellEnd"/>
      <w:r>
        <w:t xml:space="preserve">, </w:t>
      </w:r>
      <w:proofErr w:type="spellStart"/>
      <w:r w:rsidR="001B021D">
        <w:t>the</w:t>
      </w:r>
      <w:proofErr w:type="spellEnd"/>
      <w:r w:rsidR="001B021D">
        <w:t xml:space="preserve"> </w:t>
      </w:r>
      <w:proofErr w:type="spellStart"/>
      <w:r w:rsidR="001B021D">
        <w:t>education</w:t>
      </w:r>
      <w:proofErr w:type="spellEnd"/>
      <w:r w:rsidR="001B021D">
        <w:t xml:space="preserve"> </w:t>
      </w:r>
      <w:proofErr w:type="spellStart"/>
      <w:r w:rsidR="001B021D">
        <w:t>period</w:t>
      </w:r>
      <w:proofErr w:type="spellEnd"/>
      <w:r w:rsidR="001B021D">
        <w:t xml:space="preserve"> is </w:t>
      </w:r>
      <w:proofErr w:type="spellStart"/>
      <w:r w:rsidR="001B021D">
        <w:t>eight</w:t>
      </w:r>
      <w:proofErr w:type="spellEnd"/>
      <w:r w:rsidR="001B021D">
        <w:t xml:space="preserve"> </w:t>
      </w:r>
      <w:proofErr w:type="spellStart"/>
      <w:r w:rsidR="001B021D">
        <w:t>semesters</w:t>
      </w:r>
      <w:proofErr w:type="spellEnd"/>
      <w:r w:rsidR="001B021D">
        <w:t xml:space="preserve">, </w:t>
      </w:r>
      <w:proofErr w:type="spellStart"/>
      <w:r w:rsidR="001B021D">
        <w:t>excluding</w:t>
      </w:r>
      <w:proofErr w:type="spellEnd"/>
      <w:r w:rsidR="001B021D">
        <w:t xml:space="preserve"> </w:t>
      </w:r>
      <w:proofErr w:type="spellStart"/>
      <w:r w:rsidR="001B021D">
        <w:t>the</w:t>
      </w:r>
      <w:proofErr w:type="spellEnd"/>
      <w:r w:rsidR="001B021D">
        <w:t xml:space="preserve"> English </w:t>
      </w:r>
      <w:proofErr w:type="spellStart"/>
      <w:r w:rsidR="001B021D">
        <w:t>Preparatory</w:t>
      </w:r>
      <w:proofErr w:type="spellEnd"/>
      <w:r w:rsidR="001B021D">
        <w:t xml:space="preserve"> Clas</w:t>
      </w:r>
      <w:r>
        <w:t>s.</w:t>
      </w:r>
    </w:p>
    <w:p w14:paraId="5247D752" w14:textId="77777777" w:rsidR="007E0D86" w:rsidRDefault="007E0D86">
      <w:pPr>
        <w:pStyle w:val="GvdeMetni"/>
        <w:spacing w:before="6"/>
        <w:rPr>
          <w:sz w:val="27"/>
        </w:rPr>
      </w:pPr>
    </w:p>
    <w:p w14:paraId="291C58B4" w14:textId="57F5D691" w:rsidR="007E0D86" w:rsidRDefault="006E5E52">
      <w:pPr>
        <w:pStyle w:val="GvdeMetni"/>
        <w:spacing w:before="74" w:line="278" w:lineRule="auto"/>
        <w:ind w:left="116" w:right="116"/>
        <w:jc w:val="both"/>
      </w:pPr>
      <w:r>
        <w:t>(2</w:t>
      </w:r>
      <w:r w:rsidR="006C2261">
        <w:t xml:space="preserve">)  </w:t>
      </w:r>
      <w:proofErr w:type="spellStart"/>
      <w:r w:rsidRPr="006E5E52">
        <w:t>After</w:t>
      </w:r>
      <w:proofErr w:type="spellEnd"/>
      <w:r w:rsidRPr="006E5E52">
        <w:t xml:space="preserve"> </w:t>
      </w:r>
      <w:proofErr w:type="spellStart"/>
      <w:r w:rsidRPr="006E5E52">
        <w:t>taking</w:t>
      </w:r>
      <w:proofErr w:type="spellEnd"/>
      <w:r w:rsidRPr="006E5E52">
        <w:t xml:space="preserve"> </w:t>
      </w:r>
      <w:proofErr w:type="spellStart"/>
      <w:r w:rsidRPr="006E5E52">
        <w:t>all</w:t>
      </w:r>
      <w:proofErr w:type="spellEnd"/>
      <w:r w:rsidRPr="006E5E52">
        <w:t xml:space="preserve"> </w:t>
      </w:r>
      <w:proofErr w:type="spellStart"/>
      <w:r w:rsidRPr="006E5E52">
        <w:t>the</w:t>
      </w:r>
      <w:proofErr w:type="spellEnd"/>
      <w:r w:rsidRPr="006E5E52">
        <w:t xml:space="preserve"> </w:t>
      </w:r>
      <w:proofErr w:type="spellStart"/>
      <w:r w:rsidRPr="006E5E52">
        <w:t>courses</w:t>
      </w:r>
      <w:proofErr w:type="spellEnd"/>
      <w:r w:rsidRPr="006E5E52">
        <w:t xml:space="preserve">, </w:t>
      </w:r>
      <w:proofErr w:type="spellStart"/>
      <w:r w:rsidRPr="006E5E52">
        <w:t>including</w:t>
      </w:r>
      <w:proofErr w:type="spellEnd"/>
      <w:r w:rsidRPr="006E5E52">
        <w:t xml:space="preserve"> </w:t>
      </w:r>
      <w:proofErr w:type="spellStart"/>
      <w:r w:rsidRPr="006E5E52">
        <w:t>the</w:t>
      </w:r>
      <w:proofErr w:type="spellEnd"/>
      <w:r w:rsidRPr="006E5E52">
        <w:t xml:space="preserve"> 7th </w:t>
      </w:r>
      <w:proofErr w:type="spellStart"/>
      <w:r w:rsidRPr="006E5E52">
        <w:t>Semester</w:t>
      </w:r>
      <w:proofErr w:type="spellEnd"/>
      <w:r w:rsidRPr="006E5E52">
        <w:t xml:space="preserve"> </w:t>
      </w:r>
      <w:proofErr w:type="spellStart"/>
      <w:r w:rsidRPr="006E5E52">
        <w:t>courses</w:t>
      </w:r>
      <w:proofErr w:type="spellEnd"/>
      <w:r w:rsidRPr="006E5E52">
        <w:t xml:space="preserve">, </w:t>
      </w:r>
      <w:proofErr w:type="spellStart"/>
      <w:r w:rsidRPr="006E5E52">
        <w:t>the</w:t>
      </w:r>
      <w:proofErr w:type="spellEnd"/>
      <w:r w:rsidRPr="006E5E52">
        <w:t xml:space="preserve"> </w:t>
      </w:r>
      <w:proofErr w:type="spellStart"/>
      <w:r w:rsidRPr="006E5E52">
        <w:t>students</w:t>
      </w:r>
      <w:proofErr w:type="spellEnd"/>
      <w:r w:rsidRPr="006E5E52">
        <w:t xml:space="preserve"> </w:t>
      </w:r>
      <w:proofErr w:type="spellStart"/>
      <w:r w:rsidR="001B021D">
        <w:t>must</w:t>
      </w:r>
      <w:proofErr w:type="spellEnd"/>
      <w:r w:rsidRPr="006E5E52">
        <w:t xml:space="preserve"> </w:t>
      </w:r>
      <w:proofErr w:type="spellStart"/>
      <w:r w:rsidRPr="006E5E52">
        <w:t>take</w:t>
      </w:r>
      <w:proofErr w:type="spellEnd"/>
      <w:r w:rsidRPr="006E5E52">
        <w:t xml:space="preserve"> </w:t>
      </w:r>
      <w:proofErr w:type="spellStart"/>
      <w:r w:rsidRPr="006E5E52">
        <w:t>the</w:t>
      </w:r>
      <w:proofErr w:type="spellEnd"/>
      <w:r w:rsidRPr="006E5E52">
        <w:t xml:space="preserve"> </w:t>
      </w:r>
      <w:proofErr w:type="spellStart"/>
      <w:r w:rsidRPr="006E5E52">
        <w:t>Sectoral</w:t>
      </w:r>
      <w:proofErr w:type="spellEnd"/>
      <w:r w:rsidRPr="006E5E52">
        <w:t xml:space="preserve"> </w:t>
      </w:r>
      <w:proofErr w:type="spellStart"/>
      <w:r w:rsidRPr="006E5E52">
        <w:t>Practice</w:t>
      </w:r>
      <w:proofErr w:type="spellEnd"/>
      <w:r w:rsidRPr="006E5E52">
        <w:t xml:space="preserve"> Course </w:t>
      </w:r>
      <w:proofErr w:type="spellStart"/>
      <w:r w:rsidRPr="006E5E52">
        <w:t>and</w:t>
      </w:r>
      <w:proofErr w:type="spellEnd"/>
      <w:r w:rsidRPr="006E5E52">
        <w:t xml:space="preserve"> </w:t>
      </w:r>
      <w:r w:rsidR="00B60D08">
        <w:t>do</w:t>
      </w:r>
      <w:r w:rsidRPr="006E5E52">
        <w:t xml:space="preserve"> a </w:t>
      </w:r>
      <w:proofErr w:type="spellStart"/>
      <w:r w:rsidRPr="006E5E52">
        <w:t>Sectoral</w:t>
      </w:r>
      <w:proofErr w:type="spellEnd"/>
      <w:r w:rsidRPr="006E5E52">
        <w:t xml:space="preserve"> </w:t>
      </w:r>
      <w:proofErr w:type="spellStart"/>
      <w:r w:rsidRPr="006E5E52">
        <w:t>Practice</w:t>
      </w:r>
      <w:proofErr w:type="spellEnd"/>
      <w:r w:rsidRPr="006E5E52">
        <w:t xml:space="preserve"> Project in </w:t>
      </w:r>
      <w:proofErr w:type="spellStart"/>
      <w:r w:rsidRPr="006E5E52">
        <w:t>the</w:t>
      </w:r>
      <w:proofErr w:type="spellEnd"/>
      <w:r w:rsidRPr="006E5E52">
        <w:t xml:space="preserve"> 8th </w:t>
      </w:r>
      <w:proofErr w:type="spellStart"/>
      <w:r w:rsidR="001B021D">
        <w:t>s</w:t>
      </w:r>
      <w:r w:rsidRPr="006E5E52">
        <w:t>emester</w:t>
      </w:r>
      <w:proofErr w:type="spellEnd"/>
      <w:r w:rsidRPr="006E5E52">
        <w:t xml:space="preserve">, </w:t>
      </w:r>
      <w:proofErr w:type="spellStart"/>
      <w:r w:rsidR="001B021D">
        <w:t>following</w:t>
      </w:r>
      <w:proofErr w:type="spellEnd"/>
      <w:r w:rsidRPr="006E5E52">
        <w:t xml:space="preserve"> </w:t>
      </w:r>
      <w:proofErr w:type="spellStart"/>
      <w:r w:rsidRPr="006E5E52">
        <w:t>the</w:t>
      </w:r>
      <w:proofErr w:type="spellEnd"/>
      <w:r w:rsidRPr="006E5E52">
        <w:t xml:space="preserve"> </w:t>
      </w:r>
      <w:proofErr w:type="spellStart"/>
      <w:r w:rsidRPr="006E5E52">
        <w:t>provisions</w:t>
      </w:r>
      <w:proofErr w:type="spellEnd"/>
      <w:r w:rsidRPr="006E5E52">
        <w:t xml:space="preserve"> of </w:t>
      </w:r>
      <w:proofErr w:type="spellStart"/>
      <w:r w:rsidRPr="006E5E52">
        <w:t>the</w:t>
      </w:r>
      <w:proofErr w:type="spellEnd"/>
      <w:r w:rsidRPr="006E5E52">
        <w:t xml:space="preserve"> </w:t>
      </w:r>
      <w:r w:rsidR="00B60D08">
        <w:t>‘</w:t>
      </w:r>
      <w:proofErr w:type="spellStart"/>
      <w:r w:rsidRPr="006E5E52">
        <w:t>Sectoral</w:t>
      </w:r>
      <w:proofErr w:type="spellEnd"/>
      <w:r w:rsidRPr="006E5E52">
        <w:t xml:space="preserve"> </w:t>
      </w:r>
      <w:proofErr w:type="spellStart"/>
      <w:r w:rsidRPr="006E5E52">
        <w:t>Practice</w:t>
      </w:r>
      <w:proofErr w:type="spellEnd"/>
      <w:r w:rsidRPr="006E5E52">
        <w:t xml:space="preserve"> </w:t>
      </w:r>
      <w:proofErr w:type="spellStart"/>
      <w:r w:rsidR="001B021D">
        <w:t>I</w:t>
      </w:r>
      <w:r w:rsidR="00910823">
        <w:t>nstruction</w:t>
      </w:r>
      <w:proofErr w:type="spellEnd"/>
      <w:r w:rsidR="00B60D08">
        <w:t>’</w:t>
      </w:r>
      <w:r w:rsidRPr="006E5E52">
        <w:t>.</w:t>
      </w:r>
      <w:r>
        <w:t xml:space="preserve">) 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repeated</w:t>
      </w:r>
      <w:proofErr w:type="spellEnd"/>
      <w:r w:rsidR="001B021D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>.</w:t>
      </w:r>
    </w:p>
    <w:p w14:paraId="3F83CB28" w14:textId="77777777" w:rsidR="007E0D86" w:rsidRDefault="007E0D86">
      <w:pPr>
        <w:pStyle w:val="GvdeMetni"/>
        <w:spacing w:before="3"/>
        <w:rPr>
          <w:sz w:val="27"/>
        </w:rPr>
      </w:pPr>
    </w:p>
    <w:p w14:paraId="3E15883C" w14:textId="77777777" w:rsidR="006E5E52" w:rsidRDefault="006E5E52" w:rsidP="006E5E52">
      <w:pPr>
        <w:pStyle w:val="P68B1DB1-ListeParagraf2"/>
        <w:tabs>
          <w:tab w:val="left" w:pos="1209"/>
        </w:tabs>
        <w:spacing w:before="1" w:line="276" w:lineRule="auto"/>
        <w:ind w:left="-302" w:right="117" w:firstLine="0"/>
        <w:jc w:val="right"/>
      </w:pPr>
      <w:r>
        <w:t>(</w:t>
      </w:r>
      <w:proofErr w:type="gramStart"/>
      <w:r>
        <w:t>3)</w:t>
      </w:r>
      <w:proofErr w:type="spellStart"/>
      <w:r>
        <w:t>Students</w:t>
      </w:r>
      <w:proofErr w:type="spellEnd"/>
      <w:proofErr w:type="gram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48 (</w:t>
      </w:r>
      <w:proofErr w:type="spellStart"/>
      <w:r>
        <w:t>forty-eight</w:t>
      </w:r>
      <w:proofErr w:type="spellEnd"/>
      <w:r>
        <w:t xml:space="preserve">)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Course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Project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</w:p>
    <w:p w14:paraId="5B18434E" w14:textId="77777777" w:rsidR="007E0D86" w:rsidRDefault="006E5E52" w:rsidP="006E5E52">
      <w:pPr>
        <w:pStyle w:val="P68B1DB1-ListeParagraf2"/>
        <w:tabs>
          <w:tab w:val="left" w:pos="1209"/>
        </w:tabs>
        <w:spacing w:before="1" w:line="276" w:lineRule="auto"/>
        <w:ind w:left="-302" w:right="117" w:firstLine="0"/>
      </w:pPr>
      <w:proofErr w:type="spellStart"/>
      <w:proofErr w:type="gramStart"/>
      <w:r>
        <w:t>approved</w:t>
      </w:r>
      <w:proofErr w:type="spellEnd"/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</w:t>
      </w:r>
      <w:proofErr w:type="spellStart"/>
      <w:r>
        <w:t>Commission</w:t>
      </w:r>
      <w:proofErr w:type="spellEnd"/>
      <w:r>
        <w:t>.</w:t>
      </w:r>
    </w:p>
    <w:p w14:paraId="4CDAFB8D" w14:textId="414A7F61" w:rsidR="007E0D86" w:rsidRDefault="006E5E52">
      <w:pPr>
        <w:pStyle w:val="P68B1DB1-ListeParagraf2"/>
        <w:numPr>
          <w:ilvl w:val="1"/>
          <w:numId w:val="6"/>
        </w:numPr>
        <w:tabs>
          <w:tab w:val="left" w:pos="1523"/>
        </w:tabs>
        <w:spacing w:before="1" w:line="276" w:lineRule="auto"/>
        <w:ind w:right="121" w:firstLine="994"/>
        <w:jc w:val="both"/>
      </w:pPr>
      <w:proofErr w:type="spellStart"/>
      <w:r>
        <w:lastRenderedPageBreak/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is </w:t>
      </w:r>
      <w:proofErr w:type="spellStart"/>
      <w:r>
        <w:t>completed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at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interruption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</w:t>
      </w:r>
      <w:r w:rsidR="00B60D08">
        <w:t xml:space="preserve"> </w:t>
      </w:r>
      <w:proofErr w:type="spellStart"/>
      <w:r w:rsidR="00B60D08">
        <w:t>I</w:t>
      </w:r>
      <w:r w:rsidR="00910823">
        <w:t>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not </w:t>
      </w:r>
      <w:proofErr w:type="spellStart"/>
      <w:r>
        <w:t>attended</w:t>
      </w:r>
      <w:proofErr w:type="spellEnd"/>
      <w:r>
        <w:t xml:space="preserve"> can be </w:t>
      </w:r>
      <w:proofErr w:type="spellStart"/>
      <w:r>
        <w:t>compensated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07F11F80" w14:textId="77777777" w:rsidR="007E0D86" w:rsidRDefault="007E0D86">
      <w:pPr>
        <w:pStyle w:val="GvdeMetni"/>
        <w:spacing w:before="10"/>
        <w:rPr>
          <w:sz w:val="27"/>
        </w:rPr>
      </w:pPr>
    </w:p>
    <w:p w14:paraId="48522BB8" w14:textId="60B410C0" w:rsidR="007E0D86" w:rsidRDefault="006E5E52">
      <w:pPr>
        <w:pStyle w:val="P68B1DB1-ListeParagraf2"/>
        <w:numPr>
          <w:ilvl w:val="1"/>
          <w:numId w:val="6"/>
        </w:numPr>
        <w:tabs>
          <w:tab w:val="left" w:pos="1446"/>
        </w:tabs>
        <w:spacing w:line="276" w:lineRule="auto"/>
        <w:ind w:right="122" w:firstLine="99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is </w:t>
      </w:r>
      <w:proofErr w:type="spellStart"/>
      <w:r>
        <w:t>evaluated</w:t>
      </w:r>
      <w:proofErr w:type="spellEnd"/>
      <w:r>
        <w:t xml:space="preserve"> as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in </w:t>
      </w:r>
      <w:proofErr w:type="spellStart"/>
      <w:r>
        <w:t>the</w:t>
      </w:r>
      <w:proofErr w:type="spellEnd"/>
      <w:r>
        <w:t xml:space="preserve"> </w:t>
      </w:r>
      <w:proofErr w:type="spellStart"/>
      <w:r w:rsidR="00B60D08">
        <w:t>following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136410DB" w14:textId="76F37116" w:rsidR="007E0D86" w:rsidRDefault="006E5E52">
      <w:pPr>
        <w:pStyle w:val="P68B1DB1-ListeParagraf2"/>
        <w:numPr>
          <w:ilvl w:val="0"/>
          <w:numId w:val="6"/>
        </w:numPr>
        <w:tabs>
          <w:tab w:val="left" w:pos="470"/>
        </w:tabs>
        <w:spacing w:line="276" w:lineRule="auto"/>
        <w:ind w:right="118" w:firstLine="0"/>
        <w:jc w:val="both"/>
      </w:pP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Project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,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Advisor.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r w:rsidR="00B60D08">
        <w:t>ful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Course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Project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</w:t>
      </w:r>
      <w:proofErr w:type="spellStart"/>
      <w:r w:rsidR="00440511">
        <w:t>I</w:t>
      </w:r>
      <w:r w:rsidR="00910823">
        <w:t>nstruction</w:t>
      </w:r>
      <w:proofErr w:type="spellEnd"/>
      <w:r>
        <w:t>.</w:t>
      </w:r>
    </w:p>
    <w:p w14:paraId="00E76154" w14:textId="4682EB65" w:rsidR="007E0D86" w:rsidRDefault="00B60D08" w:rsidP="0015166F">
      <w:pPr>
        <w:pStyle w:val="GvdeMetni"/>
        <w:spacing w:line="276" w:lineRule="auto"/>
        <w:ind w:left="116" w:right="118"/>
        <w:jc w:val="both"/>
      </w:pPr>
      <w:r>
        <w:t xml:space="preserve">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Course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Application Project</w:t>
      </w:r>
      <w:r w:rsidR="0015166F">
        <w:t>.</w:t>
      </w:r>
    </w:p>
    <w:p w14:paraId="478D76BB" w14:textId="77777777" w:rsidR="007E0D86" w:rsidRDefault="007E0D86">
      <w:pPr>
        <w:pStyle w:val="GvdeMetni"/>
        <w:spacing w:before="3"/>
      </w:pPr>
    </w:p>
    <w:p w14:paraId="1910CC03" w14:textId="77777777" w:rsidR="007E0D86" w:rsidRDefault="006E5E52" w:rsidP="00417AE6">
      <w:pPr>
        <w:pStyle w:val="Balk1"/>
        <w:jc w:val="center"/>
      </w:pPr>
      <w:proofErr w:type="spellStart"/>
      <w:r>
        <w:t>Attending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346F597F" w14:textId="77777777" w:rsidR="007E0D86" w:rsidRPr="006C2261" w:rsidRDefault="007E0D86">
      <w:pPr>
        <w:pStyle w:val="GvdeMetni"/>
        <w:spacing w:before="5"/>
        <w:rPr>
          <w:b/>
          <w:bCs/>
        </w:rPr>
      </w:pPr>
    </w:p>
    <w:p w14:paraId="2EC91EC6" w14:textId="7678B101" w:rsidR="007E0D86" w:rsidRDefault="006E5E52">
      <w:pPr>
        <w:pStyle w:val="GvdeMetni"/>
        <w:spacing w:line="276" w:lineRule="auto"/>
        <w:ind w:left="231" w:right="226" w:firstLine="707"/>
        <w:jc w:val="both"/>
      </w:pPr>
      <w:r w:rsidRPr="006C2261">
        <w:rPr>
          <w:b/>
          <w:bCs/>
        </w:rPr>
        <w:t xml:space="preserve">ARTICLE </w:t>
      </w:r>
      <w:proofErr w:type="gramStart"/>
      <w:r w:rsidRPr="006C2261">
        <w:rPr>
          <w:b/>
          <w:bCs/>
        </w:rPr>
        <w:t>5</w:t>
      </w:r>
      <w:r>
        <w:t xml:space="preserve"> -</w:t>
      </w:r>
      <w:proofErr w:type="gramEnd"/>
      <w:r>
        <w:t xml:space="preserve">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B60D08">
        <w:t>unit</w:t>
      </w:r>
      <w:proofErr w:type="spellEnd"/>
      <w:r w:rsidR="00B60D08">
        <w:t xml:space="preserve"> program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. Courses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overlap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registered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74AE7043" w14:textId="77777777" w:rsidR="007E0D86" w:rsidRDefault="006E5E52">
      <w:pPr>
        <w:pStyle w:val="P68B1DB1-ListeParagraf2"/>
        <w:numPr>
          <w:ilvl w:val="0"/>
          <w:numId w:val="5"/>
        </w:numPr>
        <w:tabs>
          <w:tab w:val="left" w:pos="1324"/>
        </w:tabs>
        <w:spacing w:before="205" w:line="276" w:lineRule="auto"/>
        <w:ind w:right="234" w:firstLine="708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plan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is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plan,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(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,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is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6315AE7A" w14:textId="101F4954" w:rsidR="007E0D86" w:rsidRDefault="006E5E52">
      <w:pPr>
        <w:pStyle w:val="P68B1DB1-ListeParagraf2"/>
        <w:numPr>
          <w:ilvl w:val="0"/>
          <w:numId w:val="5"/>
        </w:numPr>
        <w:tabs>
          <w:tab w:val="left" w:pos="1442"/>
        </w:tabs>
        <w:spacing w:before="202" w:line="276" w:lineRule="auto"/>
        <w:ind w:right="228" w:firstLine="708"/>
        <w:jc w:val="both"/>
      </w:pPr>
      <w:r>
        <w:t xml:space="preserve">26 of </w:t>
      </w:r>
      <w:proofErr w:type="spellStart"/>
      <w:r w:rsidR="00E55AF2">
        <w:t>Istanbul</w:t>
      </w:r>
      <w:proofErr w:type="spellEnd"/>
      <w:r w:rsidR="00E55AF2">
        <w:t xml:space="preserve"> </w:t>
      </w:r>
      <w:proofErr w:type="spellStart"/>
      <w:r w:rsidR="00E55AF2">
        <w:t>Medipol</w:t>
      </w:r>
      <w:proofErr w:type="spellEnd"/>
      <w:r w:rsidR="00E55AF2">
        <w:t xml:space="preserve"> </w:t>
      </w:r>
      <w:proofErr w:type="spellStart"/>
      <w:r w:rsidR="00E55AF2">
        <w:t>University</w:t>
      </w:r>
      <w:proofErr w:type="spellEnd"/>
      <w:r w:rsidR="00E55AF2">
        <w:t xml:space="preserve"> </w:t>
      </w:r>
      <w:proofErr w:type="spellStart"/>
      <w:r w:rsidR="00E55AF2">
        <w:t>Associate</w:t>
      </w:r>
      <w:proofErr w:type="spellEnd"/>
      <w:r w:rsidR="00E55AF2">
        <w:t xml:space="preserve"> </w:t>
      </w:r>
      <w:proofErr w:type="spellStart"/>
      <w:r w:rsidR="00E55AF2">
        <w:t>and</w:t>
      </w:r>
      <w:proofErr w:type="spellEnd"/>
      <w:r w:rsidR="00E55AF2">
        <w:t xml:space="preserve"> </w:t>
      </w:r>
      <w:proofErr w:type="spellStart"/>
      <w:r w:rsidR="00E55AF2">
        <w:t>Undergraduate</w:t>
      </w:r>
      <w:proofErr w:type="spellEnd"/>
      <w:r w:rsidR="00E55AF2">
        <w:t xml:space="preserve"> </w:t>
      </w:r>
      <w:proofErr w:type="spellStart"/>
      <w:r w:rsidR="00E55AF2">
        <w:t>Education</w:t>
      </w:r>
      <w:proofErr w:type="spellEnd"/>
      <w:r w:rsidR="00E55AF2">
        <w:t xml:space="preserve"> </w:t>
      </w:r>
      <w:proofErr w:type="spellStart"/>
      <w:r w:rsidR="00E55AF2">
        <w:t>Regulations</w:t>
      </w:r>
      <w:proofErr w:type="spellEnd"/>
      <w:r w:rsidR="00E55AF2">
        <w:t xml:space="preserve"> </w:t>
      </w:r>
      <w:proofErr w:type="spellStart"/>
      <w:r w:rsidR="00787C12">
        <w:t>w</w:t>
      </w:r>
      <w:r>
        <w:t>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paragraph</w:t>
      </w:r>
      <w:proofErr w:type="spellEnd"/>
      <w:r>
        <w:t xml:space="preserve"> 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it is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laboratories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70%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80%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is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proofErr w:type="spellEnd"/>
      <w:r>
        <w:t xml:space="preserve">. </w:t>
      </w:r>
      <w:proofErr w:type="spellStart"/>
      <w:r>
        <w:t>I</w:t>
      </w:r>
      <w:r w:rsidR="00B60D08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r w:rsidR="00B60D08">
        <w:t>’</w:t>
      </w:r>
      <w:r>
        <w:t>s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r>
        <w:t>s</w:t>
      </w:r>
      <w:proofErr w:type="spellEnd"/>
      <w:r w:rsidR="001B021D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is </w:t>
      </w:r>
      <w:proofErr w:type="spellStart"/>
      <w:r>
        <w:t>informed</w:t>
      </w:r>
      <w:proofErr w:type="spellEnd"/>
      <w:r>
        <w:t>.</w:t>
      </w:r>
    </w:p>
    <w:p w14:paraId="51D36D23" w14:textId="31597B76" w:rsidR="007E0D86" w:rsidRDefault="006E5E52">
      <w:pPr>
        <w:pStyle w:val="P68B1DB1-ListeParagraf2"/>
        <w:numPr>
          <w:ilvl w:val="0"/>
          <w:numId w:val="5"/>
        </w:numPr>
        <w:tabs>
          <w:tab w:val="left" w:pos="1353"/>
        </w:tabs>
        <w:spacing w:before="202" w:line="276" w:lineRule="auto"/>
        <w:ind w:right="236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fail in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>.</w:t>
      </w:r>
    </w:p>
    <w:p w14:paraId="370ECA5B" w14:textId="77777777" w:rsidR="007E0D86" w:rsidRDefault="007E0D86">
      <w:pPr>
        <w:spacing w:line="276" w:lineRule="auto"/>
        <w:jc w:val="both"/>
        <w:rPr>
          <w:sz w:val="24"/>
        </w:rPr>
        <w:sectPr w:rsidR="007E0D86">
          <w:pgSz w:w="11920" w:h="16850"/>
          <w:pgMar w:top="1340" w:right="1300" w:bottom="280" w:left="1300" w:header="708" w:footer="708" w:gutter="0"/>
          <w:cols w:space="708"/>
        </w:sectPr>
      </w:pPr>
    </w:p>
    <w:p w14:paraId="4D75DB73" w14:textId="77777777" w:rsidR="007E0D86" w:rsidRDefault="006E5E52">
      <w:pPr>
        <w:pStyle w:val="GvdeMetni"/>
        <w:spacing w:before="74" w:line="278" w:lineRule="auto"/>
        <w:ind w:left="111"/>
      </w:pPr>
      <w:proofErr w:type="spellStart"/>
      <w:proofErr w:type="gramStart"/>
      <w:r>
        <w:lastRenderedPageBreak/>
        <w:t>provided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D70B52D" w14:textId="77777777" w:rsidR="007E0D86" w:rsidRDefault="006E5E52" w:rsidP="00417AE6">
      <w:pPr>
        <w:pStyle w:val="Balk1"/>
        <w:spacing w:before="201"/>
        <w:ind w:left="819"/>
        <w:jc w:val="center"/>
      </w:pPr>
      <w:proofErr w:type="spellStart"/>
      <w:r>
        <w:t>Exams</w:t>
      </w:r>
      <w:proofErr w:type="spellEnd"/>
    </w:p>
    <w:p w14:paraId="27E3567E" w14:textId="1C95F342" w:rsidR="007E0D86" w:rsidRDefault="006E5E52">
      <w:pPr>
        <w:pStyle w:val="GvdeMetni"/>
        <w:spacing w:line="276" w:lineRule="auto"/>
        <w:ind w:left="111" w:right="117" w:firstLine="707"/>
        <w:jc w:val="both"/>
      </w:pPr>
      <w:r w:rsidRPr="006C2261">
        <w:rPr>
          <w:b/>
          <w:bCs/>
        </w:rPr>
        <w:t>ARTICLE 6</w:t>
      </w:r>
      <w:r>
        <w:t xml:space="preserve"> – (1) </w:t>
      </w:r>
      <w:proofErr w:type="spellStart"/>
      <w:r>
        <w:t>Exams</w:t>
      </w:r>
      <w:proofErr w:type="spellEnd"/>
      <w:r>
        <w:t xml:space="preserve">: </w:t>
      </w:r>
      <w:proofErr w:type="spellStart"/>
      <w:r>
        <w:t>midterm</w:t>
      </w:r>
      <w:proofErr w:type="spellEnd"/>
      <w:r>
        <w:t xml:space="preserve">, final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written</w:t>
      </w:r>
      <w:proofErr w:type="spellEnd"/>
      <w:r>
        <w:t xml:space="preserve">, oral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Board,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(0)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administrati</w:t>
      </w:r>
      <w:r w:rsidR="003B40A8">
        <w:t>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5779DCC4" w14:textId="42B43939" w:rsidR="007E0D86" w:rsidRDefault="006E5E52">
      <w:pPr>
        <w:pStyle w:val="ListeParagraf"/>
        <w:numPr>
          <w:ilvl w:val="0"/>
          <w:numId w:val="4"/>
        </w:numPr>
        <w:tabs>
          <w:tab w:val="left" w:pos="1118"/>
        </w:tabs>
        <w:spacing w:before="76" w:line="276" w:lineRule="auto"/>
        <w:ind w:right="110" w:firstLine="708"/>
        <w:jc w:val="both"/>
      </w:pPr>
      <w:proofErr w:type="spellStart"/>
      <w:r>
        <w:rPr>
          <w:sz w:val="24"/>
        </w:rPr>
        <w:t>Midterm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exam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is an </w:t>
      </w:r>
      <w:proofErr w:type="spellStart"/>
      <w:r>
        <w:rPr>
          <w:sz w:val="24"/>
        </w:rPr>
        <w:t>exam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held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least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course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Projects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graduation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laboratories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workshops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similar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studies</w:t>
      </w:r>
      <w:proofErr w:type="spellEnd"/>
      <w:r>
        <w:rPr>
          <w:sz w:val="24"/>
        </w:rPr>
        <w:t xml:space="preserve"> can </w:t>
      </w:r>
      <w:proofErr w:type="spellStart"/>
      <w:r>
        <w:rPr>
          <w:sz w:val="24"/>
        </w:rPr>
        <w:t>replace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midterm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exams</w:t>
      </w:r>
      <w:proofErr w:type="spellEnd"/>
      <w:r>
        <w:rPr>
          <w:sz w:val="24"/>
        </w:rPr>
        <w:t xml:space="preserve">. Evaluation </w:t>
      </w:r>
      <w:proofErr w:type="spellStart"/>
      <w:r>
        <w:rPr>
          <w:sz w:val="24"/>
        </w:rPr>
        <w:t>activities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exam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homework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, </w:t>
      </w:r>
      <w:proofErr w:type="spellStart"/>
      <w:r>
        <w:t>participation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themselves</w:t>
      </w:r>
      <w:proofErr w:type="spellEnd"/>
      <w:r w:rsidR="003B40A8">
        <w:t xml:space="preserve">. </w:t>
      </w:r>
      <w:proofErr w:type="spellStart"/>
      <w:r w:rsidR="003B40A8">
        <w:t>T</w:t>
      </w:r>
      <w:r>
        <w:t>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plan.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79171F7F" w14:textId="17041667" w:rsidR="007E0D86" w:rsidRDefault="006E5E52">
      <w:pPr>
        <w:pStyle w:val="P68B1DB1-ListeParagraf2"/>
        <w:numPr>
          <w:ilvl w:val="0"/>
          <w:numId w:val="4"/>
        </w:numPr>
        <w:tabs>
          <w:tab w:val="left" w:pos="1089"/>
        </w:tabs>
        <w:spacing w:line="276" w:lineRule="auto"/>
        <w:ind w:right="117" w:firstLine="708"/>
        <w:jc w:val="both"/>
      </w:pPr>
      <w:r>
        <w:t xml:space="preserve">Final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proofErr w:type="spellEnd"/>
      <w:r>
        <w:t xml:space="preserve"> of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B60D08">
        <w:t xml:space="preserve">final </w:t>
      </w:r>
      <w:proofErr w:type="spellStart"/>
      <w:r w:rsidR="00B60D08">
        <w:t>exam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grade</w:t>
      </w:r>
      <w:proofErr w:type="spellEnd"/>
      <w:r>
        <w:t xml:space="preserve"> is 50%.</w:t>
      </w:r>
    </w:p>
    <w:p w14:paraId="0720323E" w14:textId="374B718B" w:rsidR="007E0D86" w:rsidRDefault="006E5E52">
      <w:pPr>
        <w:pStyle w:val="P68B1DB1-ListeParagraf2"/>
        <w:numPr>
          <w:ilvl w:val="0"/>
          <w:numId w:val="3"/>
        </w:numPr>
        <w:tabs>
          <w:tab w:val="left" w:pos="1180"/>
        </w:tabs>
        <w:spacing w:before="2" w:line="276" w:lineRule="auto"/>
        <w:ind w:right="108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3B40A8">
        <w:t>they</w:t>
      </w:r>
      <w:proofErr w:type="spellEnd"/>
      <w:r w:rsidR="003B40A8">
        <w:t xml:space="preserve"> do</w:t>
      </w:r>
      <w:r>
        <w:t xml:space="preserve"> not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 w:rsidR="003B40A8">
        <w:t>thei</w:t>
      </w:r>
      <w:r>
        <w:t>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79342599" w14:textId="7F4989EE" w:rsidR="007E0D86" w:rsidRDefault="006E5E52">
      <w:pPr>
        <w:pStyle w:val="P68B1DB1-ListeParagraf2"/>
        <w:numPr>
          <w:ilvl w:val="0"/>
          <w:numId w:val="3"/>
        </w:numPr>
        <w:tabs>
          <w:tab w:val="left" w:pos="1252"/>
        </w:tabs>
        <w:spacing w:before="1" w:line="276" w:lineRule="auto"/>
        <w:ind w:right="118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 w:rsidR="00E55AF2">
        <w:t>Istanbul</w:t>
      </w:r>
      <w:proofErr w:type="spellEnd"/>
      <w:r w:rsidR="00E55AF2">
        <w:t xml:space="preserve"> </w:t>
      </w:r>
      <w:proofErr w:type="spellStart"/>
      <w:r w:rsidR="00E55AF2">
        <w:t>Medipol</w:t>
      </w:r>
      <w:proofErr w:type="spellEnd"/>
      <w:r w:rsidR="00E55AF2">
        <w:t xml:space="preserve"> </w:t>
      </w:r>
      <w:proofErr w:type="spellStart"/>
      <w:r w:rsidR="00E55AF2">
        <w:t>University</w:t>
      </w:r>
      <w:proofErr w:type="spellEnd"/>
      <w:r w:rsidR="00E55AF2">
        <w:t xml:space="preserve"> </w:t>
      </w:r>
      <w:proofErr w:type="spellStart"/>
      <w:r w:rsidR="00E55AF2">
        <w:t>Associate</w:t>
      </w:r>
      <w:proofErr w:type="spellEnd"/>
      <w:r w:rsidR="00E55AF2">
        <w:t xml:space="preserve"> </w:t>
      </w:r>
      <w:proofErr w:type="spellStart"/>
      <w:r w:rsidR="00E55AF2">
        <w:t>and</w:t>
      </w:r>
      <w:proofErr w:type="spellEnd"/>
      <w:r w:rsidR="00E55AF2">
        <w:t xml:space="preserve"> </w:t>
      </w:r>
      <w:proofErr w:type="spellStart"/>
      <w:r w:rsidR="00E55AF2">
        <w:t>Undergraduate</w:t>
      </w:r>
      <w:proofErr w:type="spellEnd"/>
      <w:r w:rsidR="00E55AF2">
        <w:t xml:space="preserve"> </w:t>
      </w:r>
      <w:proofErr w:type="spellStart"/>
      <w:r w:rsidR="00E55AF2">
        <w:t>Education</w:t>
      </w:r>
      <w:proofErr w:type="spellEnd"/>
      <w:r w:rsidR="00E55AF2">
        <w:t xml:space="preserve"> </w:t>
      </w:r>
      <w:proofErr w:type="spellStart"/>
      <w:r w:rsidR="00E55AF2">
        <w:t>Regulations</w:t>
      </w:r>
      <w:proofErr w:type="spellEnd"/>
      <w:r w:rsidR="00E55AF2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make-up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60935DCF" w14:textId="77777777" w:rsidR="007E0D86" w:rsidRDefault="006E5E52" w:rsidP="00417AE6">
      <w:pPr>
        <w:pStyle w:val="Balk1"/>
        <w:spacing w:before="205"/>
        <w:ind w:left="819"/>
        <w:jc w:val="center"/>
      </w:pPr>
      <w:proofErr w:type="spellStart"/>
      <w:r>
        <w:t>Passing</w:t>
      </w:r>
      <w:proofErr w:type="spellEnd"/>
      <w:r>
        <w:t xml:space="preserve"> Course, Course </w:t>
      </w:r>
      <w:proofErr w:type="spellStart"/>
      <w:r>
        <w:t>Achievement</w:t>
      </w:r>
      <w:proofErr w:type="spellEnd"/>
      <w:r>
        <w:t xml:space="preserve">, Grade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</w:p>
    <w:p w14:paraId="1082B887" w14:textId="77777777" w:rsidR="007E0D86" w:rsidRDefault="007E0D86">
      <w:pPr>
        <w:pStyle w:val="GvdeMetni"/>
        <w:spacing w:before="8"/>
        <w:rPr>
          <w:b/>
        </w:rPr>
      </w:pPr>
    </w:p>
    <w:p w14:paraId="01EDBCDB" w14:textId="62961B1E" w:rsidR="007E0D86" w:rsidRDefault="006E5E52">
      <w:pPr>
        <w:pStyle w:val="GvdeMetni"/>
        <w:ind w:left="819"/>
      </w:pPr>
      <w:r w:rsidRPr="006C2261">
        <w:rPr>
          <w:b/>
          <w:bCs/>
        </w:rPr>
        <w:t>ARTICLE</w:t>
      </w:r>
      <w:r w:rsidRPr="006C2261">
        <w:t xml:space="preserve"> </w:t>
      </w:r>
      <w:proofErr w:type="gramStart"/>
      <w:r w:rsidRPr="006C2261">
        <w:rPr>
          <w:b/>
          <w:bCs/>
        </w:rPr>
        <w:t>7</w:t>
      </w:r>
      <w:r>
        <w:t xml:space="preserve"> -</w:t>
      </w:r>
      <w:proofErr w:type="gramEnd"/>
      <w:r>
        <w:t xml:space="preserve"> (1) </w:t>
      </w:r>
      <w:proofErr w:type="spellStart"/>
      <w:r w:rsidR="00910823">
        <w:t>İnstruction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3B40A8">
        <w:t>based</w:t>
      </w:r>
      <w:proofErr w:type="spellEnd"/>
      <w:r w:rsidR="003B40A8">
        <w:t xml:space="preserve"> on</w:t>
      </w:r>
      <w:r>
        <w:t xml:space="preserve">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>.</w:t>
      </w:r>
    </w:p>
    <w:p w14:paraId="1872DEAD" w14:textId="77777777" w:rsidR="007E0D86" w:rsidRDefault="007E0D86">
      <w:pPr>
        <w:pStyle w:val="GvdeMetni"/>
        <w:spacing w:before="9"/>
      </w:pPr>
    </w:p>
    <w:p w14:paraId="09D54069" w14:textId="663E6211" w:rsidR="007E0D86" w:rsidRDefault="006E5E52">
      <w:pPr>
        <w:pStyle w:val="P68B1DB1-ListeParagraf2"/>
        <w:numPr>
          <w:ilvl w:val="0"/>
          <w:numId w:val="2"/>
        </w:numPr>
        <w:tabs>
          <w:tab w:val="left" w:pos="1173"/>
        </w:tabs>
        <w:spacing w:line="276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Course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 w:rsidR="003B40A8">
        <w:t>F</w:t>
      </w:r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>;</w:t>
      </w:r>
    </w:p>
    <w:p w14:paraId="5514B10B" w14:textId="77777777" w:rsidR="007E0D86" w:rsidRDefault="006E5E52">
      <w:pPr>
        <w:pStyle w:val="P68B1DB1-ListeParagraf2"/>
        <w:numPr>
          <w:ilvl w:val="0"/>
          <w:numId w:val="1"/>
        </w:numPr>
        <w:tabs>
          <w:tab w:val="left" w:pos="1065"/>
        </w:tabs>
        <w:spacing w:before="202"/>
        <w:ind w:firstLine="708"/>
      </w:pPr>
      <w:proofErr w:type="spellStart"/>
      <w:r>
        <w:t>Having</w:t>
      </w:r>
      <w:proofErr w:type="spellEnd"/>
      <w:r>
        <w:t xml:space="preserve"> a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50 (</w:t>
      </w:r>
      <w:proofErr w:type="spellStart"/>
      <w:r>
        <w:t>fifty</w:t>
      </w:r>
      <w:proofErr w:type="spellEnd"/>
      <w:r>
        <w:t>),</w:t>
      </w:r>
    </w:p>
    <w:p w14:paraId="15D8D5FB" w14:textId="77777777" w:rsidR="007E0D86" w:rsidRDefault="007E0D86">
      <w:pPr>
        <w:pStyle w:val="GvdeMetni"/>
        <w:rPr>
          <w:sz w:val="25"/>
        </w:rPr>
      </w:pPr>
    </w:p>
    <w:p w14:paraId="3A95AFA3" w14:textId="77777777" w:rsidR="007E0D86" w:rsidRDefault="006E5E52">
      <w:pPr>
        <w:pStyle w:val="P68B1DB1-ListeParagraf2"/>
        <w:numPr>
          <w:ilvl w:val="0"/>
          <w:numId w:val="1"/>
        </w:numPr>
        <w:tabs>
          <w:tab w:val="left" w:pos="1101"/>
        </w:tabs>
        <w:spacing w:line="276" w:lineRule="auto"/>
        <w:ind w:right="118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50%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50%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1B7FD590" w14:textId="77777777" w:rsidR="007E0D86" w:rsidRDefault="006E5E52">
      <w:pPr>
        <w:pStyle w:val="P68B1DB1-ListeParagraf2"/>
        <w:numPr>
          <w:ilvl w:val="0"/>
          <w:numId w:val="1"/>
        </w:numPr>
        <w:tabs>
          <w:tab w:val="left" w:pos="1065"/>
        </w:tabs>
        <w:spacing w:before="200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C- (60/2.27).</w:t>
      </w:r>
    </w:p>
    <w:p w14:paraId="1230A485" w14:textId="77777777" w:rsidR="007E0D86" w:rsidRDefault="007E0D86">
      <w:pPr>
        <w:pStyle w:val="GvdeMetni"/>
        <w:rPr>
          <w:sz w:val="25"/>
        </w:rPr>
      </w:pPr>
    </w:p>
    <w:p w14:paraId="6F24466C" w14:textId="5145A80F" w:rsidR="007E0D86" w:rsidRDefault="006E5E52" w:rsidP="00D611E0">
      <w:pPr>
        <w:pStyle w:val="P68B1DB1-ListeParagraf2"/>
        <w:numPr>
          <w:ilvl w:val="0"/>
          <w:numId w:val="2"/>
        </w:numPr>
        <w:tabs>
          <w:tab w:val="left" w:pos="1180"/>
        </w:tabs>
        <w:spacing w:before="74" w:line="276" w:lineRule="auto"/>
        <w:ind w:right="109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GPA is </w:t>
      </w:r>
      <w:proofErr w:type="spellStart"/>
      <w:r>
        <w:t>between</w:t>
      </w:r>
      <w:proofErr w:type="spellEnd"/>
      <w:r>
        <w:t xml:space="preserve"> 3</w:t>
      </w:r>
      <w:r w:rsidR="00935545">
        <w:t>,</w:t>
      </w:r>
      <w:r>
        <w:t>13-3</w:t>
      </w:r>
      <w:r w:rsidR="00935545">
        <w:t>,</w:t>
      </w:r>
      <w:r>
        <w:t xml:space="preserve">54,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hono</w:t>
      </w:r>
      <w:r w:rsidR="003B40A8">
        <w:t>u</w:t>
      </w:r>
      <w:r>
        <w:t>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 3</w:t>
      </w:r>
      <w:r w:rsidR="00935545">
        <w:t>,</w:t>
      </w:r>
      <w:r>
        <w:t>55-4</w:t>
      </w:r>
      <w:r w:rsidR="00935545">
        <w:t>,</w:t>
      </w:r>
      <w:r>
        <w:t xml:space="preserve">00Students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hono</w:t>
      </w:r>
      <w:r w:rsidR="003B40A8">
        <w:t>u</w:t>
      </w:r>
      <w:r>
        <w:t>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5DAEA1B5" w14:textId="77777777" w:rsidR="007E0D86" w:rsidRDefault="007E0D86">
      <w:pPr>
        <w:pStyle w:val="GvdeMetni"/>
        <w:spacing w:before="2"/>
        <w:rPr>
          <w:sz w:val="21"/>
        </w:rPr>
      </w:pPr>
    </w:p>
    <w:p w14:paraId="0F7E7BFE" w14:textId="2E5D5143" w:rsidR="007E0D86" w:rsidRDefault="006E5E52">
      <w:pPr>
        <w:pStyle w:val="P68B1DB1-ListeParagraf2"/>
        <w:numPr>
          <w:ilvl w:val="0"/>
          <w:numId w:val="2"/>
        </w:numPr>
        <w:tabs>
          <w:tab w:val="left" w:pos="1590"/>
        </w:tabs>
        <w:spacing w:line="276" w:lineRule="auto"/>
        <w:ind w:left="113" w:right="115" w:firstLine="1106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 w:rsidR="003B40A8">
        <w:t>for</w:t>
      </w:r>
      <w:proofErr w:type="spellEnd"/>
      <w:r w:rsidR="003B40A8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credits</w:t>
      </w:r>
      <w:proofErr w:type="spellEnd"/>
      <w:r>
        <w:t xml:space="preserve"> (ECTS)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 w:rsidR="003B40A8">
        <w:t>for</w:t>
      </w:r>
      <w:proofErr w:type="spellEnd"/>
      <w:r w:rsidR="003B40A8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>.</w:t>
      </w:r>
    </w:p>
    <w:p w14:paraId="02676D95" w14:textId="77777777" w:rsidR="007E0D86" w:rsidRDefault="007E0D86">
      <w:pPr>
        <w:pStyle w:val="GvdeMetni"/>
        <w:spacing w:before="1"/>
        <w:rPr>
          <w:sz w:val="10"/>
        </w:rPr>
      </w:pPr>
    </w:p>
    <w:p w14:paraId="54E3AA58" w14:textId="4C939A1B" w:rsidR="007E0D86" w:rsidRDefault="006E5E52" w:rsidP="00417AE6">
      <w:pPr>
        <w:pStyle w:val="Balk1"/>
        <w:spacing w:before="90"/>
        <w:ind w:left="1219"/>
        <w:jc w:val="center"/>
      </w:pPr>
      <w:proofErr w:type="spellStart"/>
      <w:r>
        <w:t>Exemption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692307">
        <w:t>C</w:t>
      </w:r>
      <w:r>
        <w:t>ourses</w:t>
      </w:r>
    </w:p>
    <w:p w14:paraId="3D0ADB2C" w14:textId="77777777" w:rsidR="007E0D86" w:rsidRDefault="007E0D86">
      <w:pPr>
        <w:pStyle w:val="GvdeMetni"/>
        <w:spacing w:before="4"/>
        <w:rPr>
          <w:b/>
        </w:rPr>
      </w:pPr>
    </w:p>
    <w:p w14:paraId="6486F25C" w14:textId="4697E521" w:rsidR="007E0D86" w:rsidRDefault="006E5E52">
      <w:pPr>
        <w:pStyle w:val="GvdeMetni"/>
        <w:spacing w:line="276" w:lineRule="auto"/>
        <w:ind w:left="511" w:right="117" w:firstLine="707"/>
        <w:jc w:val="both"/>
      </w:pPr>
      <w:r w:rsidRPr="006C2261">
        <w:rPr>
          <w:b/>
          <w:bCs/>
        </w:rPr>
        <w:t>ARTICLE 8</w:t>
      </w:r>
      <w:r>
        <w:t xml:space="preserve"> – (1)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apply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succeeded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.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B40A8">
        <w:t>lecturer's</w:t>
      </w:r>
      <w:proofErr w:type="spellEnd"/>
      <w:r w:rsidR="003B40A8">
        <w:t xml:space="preserve"> </w:t>
      </w:r>
      <w:proofErr w:type="spellStart"/>
      <w:r w:rsidR="003B40A8">
        <w:t>opinion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280CA949" w14:textId="77777777" w:rsidR="007E0D86" w:rsidRDefault="007E0D86">
      <w:pPr>
        <w:pStyle w:val="GvdeMetni"/>
        <w:spacing w:before="4"/>
        <w:rPr>
          <w:sz w:val="35"/>
        </w:rPr>
      </w:pPr>
    </w:p>
    <w:p w14:paraId="08C724A6" w14:textId="77777777" w:rsidR="007E0D86" w:rsidRDefault="006E5E52" w:rsidP="00417AE6">
      <w:pPr>
        <w:pStyle w:val="Balk1"/>
        <w:ind w:left="1219"/>
        <w:jc w:val="center"/>
      </w:pPr>
      <w:proofErr w:type="spellStart"/>
      <w:r>
        <w:t>Validness</w:t>
      </w:r>
      <w:proofErr w:type="spellEnd"/>
    </w:p>
    <w:p w14:paraId="5AD5A096" w14:textId="77777777" w:rsidR="007E0D86" w:rsidRDefault="007E0D86">
      <w:pPr>
        <w:pStyle w:val="GvdeMetni"/>
        <w:spacing w:before="9"/>
        <w:rPr>
          <w:b/>
        </w:rPr>
      </w:pPr>
    </w:p>
    <w:p w14:paraId="507E81BE" w14:textId="11BBC8A4" w:rsidR="007E0D86" w:rsidRDefault="006E5E52">
      <w:pPr>
        <w:pStyle w:val="GvdeMetni"/>
        <w:spacing w:line="278" w:lineRule="auto"/>
        <w:ind w:left="511" w:right="576" w:firstLine="707"/>
      </w:pPr>
      <w:r w:rsidRPr="006C2261">
        <w:rPr>
          <w:b/>
          <w:bCs/>
        </w:rPr>
        <w:t>ARTICLE 9</w:t>
      </w:r>
      <w:r>
        <w:t xml:space="preserve"> 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20443B67" w14:textId="77777777" w:rsidR="007E0D86" w:rsidRDefault="006E5E52" w:rsidP="00417AE6">
      <w:pPr>
        <w:pStyle w:val="Balk1"/>
        <w:spacing w:before="199"/>
        <w:ind w:left="1219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74A7AF0A" w14:textId="77777777" w:rsidR="007E0D86" w:rsidRDefault="007E0D86">
      <w:pPr>
        <w:pStyle w:val="GvdeMetni"/>
        <w:spacing w:before="7"/>
        <w:rPr>
          <w:b/>
        </w:rPr>
      </w:pPr>
    </w:p>
    <w:p w14:paraId="5FF2FD8E" w14:textId="7315448E" w:rsidR="007E0D86" w:rsidRDefault="006E5E52">
      <w:pPr>
        <w:pStyle w:val="GvdeMetni"/>
        <w:spacing w:line="276" w:lineRule="auto"/>
        <w:ind w:left="511" w:right="116" w:firstLine="707"/>
        <w:jc w:val="both"/>
      </w:pPr>
      <w:r w:rsidRPr="006C2261">
        <w:rPr>
          <w:b/>
          <w:bCs/>
        </w:rPr>
        <w:t>ARTICLE 10</w:t>
      </w:r>
      <w:r>
        <w:t xml:space="preserve"> –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1B021D">
        <w:t>instruction</w:t>
      </w:r>
      <w:proofErr w:type="spellEnd"/>
      <w:r>
        <w:t>,</w:t>
      </w:r>
      <w:r w:rsidR="003B40A8">
        <w:t xml:space="preserve"> </w:t>
      </w:r>
      <w:r>
        <w:t>“</w:t>
      </w:r>
      <w:proofErr w:type="spellStart"/>
      <w:r w:rsidR="00E55AF2">
        <w:t>Istanbul</w:t>
      </w:r>
      <w:proofErr w:type="spellEnd"/>
      <w:r w:rsidR="00E55AF2">
        <w:t xml:space="preserve"> </w:t>
      </w:r>
      <w:proofErr w:type="spellStart"/>
      <w:r w:rsidR="00E55AF2">
        <w:t>Medipol</w:t>
      </w:r>
      <w:proofErr w:type="spellEnd"/>
      <w:r w:rsidR="00E55AF2">
        <w:t xml:space="preserve"> </w:t>
      </w:r>
      <w:proofErr w:type="spellStart"/>
      <w:r w:rsidR="00E55AF2">
        <w:t>University</w:t>
      </w:r>
      <w:proofErr w:type="spellEnd"/>
      <w:r w:rsidR="00E55AF2">
        <w:t xml:space="preserve"> </w:t>
      </w:r>
      <w:proofErr w:type="spellStart"/>
      <w:r w:rsidR="00E55AF2">
        <w:t>Associate</w:t>
      </w:r>
      <w:proofErr w:type="spellEnd"/>
      <w:r w:rsidR="00E55AF2">
        <w:t xml:space="preserve"> </w:t>
      </w:r>
      <w:proofErr w:type="spellStart"/>
      <w:r w:rsidR="00E55AF2">
        <w:t>and</w:t>
      </w:r>
      <w:proofErr w:type="spellEnd"/>
      <w:r w:rsidR="00E55AF2">
        <w:t xml:space="preserve"> </w:t>
      </w:r>
      <w:proofErr w:type="spellStart"/>
      <w:r w:rsidR="00E55AF2">
        <w:t>Undergraduate</w:t>
      </w:r>
      <w:proofErr w:type="spellEnd"/>
      <w:r w:rsidR="00E55AF2">
        <w:t xml:space="preserve"> </w:t>
      </w:r>
      <w:proofErr w:type="spellStart"/>
      <w:r w:rsidR="00E55AF2">
        <w:t>Education</w:t>
      </w:r>
      <w:proofErr w:type="spellEnd"/>
      <w:r w:rsidR="00E55AF2">
        <w:t xml:space="preserve"> </w:t>
      </w:r>
      <w:proofErr w:type="spellStart"/>
      <w:r w:rsidR="00E55AF2">
        <w:t>Regulations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board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07F61239" w14:textId="5779FA5A" w:rsidR="007E0D86" w:rsidRDefault="006E5E52" w:rsidP="00417AE6">
      <w:pPr>
        <w:pStyle w:val="Balk1"/>
        <w:spacing w:before="204"/>
        <w:ind w:left="1219"/>
        <w:jc w:val="center"/>
      </w:pPr>
      <w:proofErr w:type="spellStart"/>
      <w:r>
        <w:t>Execution</w:t>
      </w:r>
      <w:proofErr w:type="spellEnd"/>
    </w:p>
    <w:p w14:paraId="7D8637D1" w14:textId="77777777" w:rsidR="00E55AF2" w:rsidRPr="00F559B4" w:rsidRDefault="00E55AF2">
      <w:pPr>
        <w:pStyle w:val="Balk1"/>
        <w:spacing w:before="204"/>
        <w:ind w:left="1219"/>
        <w:rPr>
          <w:szCs w:val="24"/>
        </w:rPr>
      </w:pPr>
    </w:p>
    <w:p w14:paraId="37FBFC4F" w14:textId="70C1D7A0" w:rsidR="003B40A8" w:rsidRPr="00F559B4" w:rsidRDefault="00746900" w:rsidP="003B40A8">
      <w:pPr>
        <w:spacing w:line="250" w:lineRule="exact"/>
        <w:ind w:left="824"/>
        <w:rPr>
          <w:sz w:val="24"/>
          <w:szCs w:val="24"/>
        </w:rPr>
      </w:pPr>
      <w:r w:rsidRPr="00F559B4">
        <w:rPr>
          <w:b/>
          <w:bCs/>
          <w:sz w:val="24"/>
          <w:szCs w:val="24"/>
        </w:rPr>
        <w:t>ARTICLE11</w:t>
      </w:r>
      <w:r w:rsidRPr="00F559B4">
        <w:rPr>
          <w:sz w:val="24"/>
          <w:szCs w:val="24"/>
        </w:rPr>
        <w:t>- (1</w:t>
      </w:r>
      <w:r w:rsidR="004F144C" w:rsidRPr="00F559B4">
        <w:rPr>
          <w:sz w:val="24"/>
          <w:szCs w:val="24"/>
        </w:rPr>
        <w:t>)</w:t>
      </w:r>
      <w:r w:rsidR="00E55AF2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The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provisions</w:t>
      </w:r>
      <w:proofErr w:type="spellEnd"/>
      <w:r w:rsidR="003B40A8" w:rsidRPr="00F559B4">
        <w:rPr>
          <w:sz w:val="24"/>
          <w:szCs w:val="24"/>
        </w:rPr>
        <w:t xml:space="preserve"> of </w:t>
      </w:r>
      <w:proofErr w:type="spellStart"/>
      <w:r w:rsidR="003B40A8" w:rsidRPr="00F559B4">
        <w:rPr>
          <w:sz w:val="24"/>
          <w:szCs w:val="24"/>
        </w:rPr>
        <w:t>this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instruction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are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executed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by</w:t>
      </w:r>
      <w:proofErr w:type="spellEnd"/>
      <w:r w:rsidR="003B40A8" w:rsidRPr="00F559B4">
        <w:rPr>
          <w:sz w:val="24"/>
          <w:szCs w:val="24"/>
        </w:rPr>
        <w:t xml:space="preserve"> </w:t>
      </w:r>
      <w:proofErr w:type="spellStart"/>
      <w:r w:rsidR="003B40A8" w:rsidRPr="00F559B4">
        <w:rPr>
          <w:sz w:val="24"/>
          <w:szCs w:val="24"/>
        </w:rPr>
        <w:t>the</w:t>
      </w:r>
      <w:proofErr w:type="spellEnd"/>
      <w:r w:rsidR="003B40A8" w:rsidRPr="00F559B4">
        <w:rPr>
          <w:sz w:val="24"/>
          <w:szCs w:val="24"/>
        </w:rPr>
        <w:t xml:space="preserve"> Dean</w:t>
      </w:r>
      <w:r w:rsidR="00681A70" w:rsidRPr="00F559B4">
        <w:rPr>
          <w:sz w:val="24"/>
          <w:szCs w:val="24"/>
        </w:rPr>
        <w:t xml:space="preserve"> of School of Business of </w:t>
      </w:r>
      <w:proofErr w:type="spellStart"/>
      <w:r w:rsidR="00681A70" w:rsidRPr="00F559B4">
        <w:rPr>
          <w:sz w:val="24"/>
          <w:szCs w:val="24"/>
        </w:rPr>
        <w:t>Istanbul</w:t>
      </w:r>
      <w:proofErr w:type="spellEnd"/>
      <w:r w:rsidR="00681A70" w:rsidRPr="00F559B4">
        <w:rPr>
          <w:sz w:val="24"/>
          <w:szCs w:val="24"/>
        </w:rPr>
        <w:t xml:space="preserve"> </w:t>
      </w:r>
      <w:proofErr w:type="spellStart"/>
      <w:r w:rsidR="00681A70" w:rsidRPr="00F559B4">
        <w:rPr>
          <w:sz w:val="24"/>
          <w:szCs w:val="24"/>
        </w:rPr>
        <w:t>Medipol</w:t>
      </w:r>
      <w:proofErr w:type="spellEnd"/>
      <w:r w:rsidR="00681A70" w:rsidRPr="00F559B4">
        <w:rPr>
          <w:sz w:val="24"/>
          <w:szCs w:val="24"/>
        </w:rPr>
        <w:t xml:space="preserve"> </w:t>
      </w:r>
      <w:proofErr w:type="spellStart"/>
      <w:r w:rsidR="00681A70" w:rsidRPr="00F559B4">
        <w:rPr>
          <w:sz w:val="24"/>
          <w:szCs w:val="24"/>
        </w:rPr>
        <w:t>University</w:t>
      </w:r>
      <w:proofErr w:type="spellEnd"/>
      <w:r w:rsidR="00681A70" w:rsidRPr="00F559B4">
        <w:rPr>
          <w:sz w:val="24"/>
          <w:szCs w:val="24"/>
        </w:rPr>
        <w:t>.</w:t>
      </w:r>
    </w:p>
    <w:p w14:paraId="0625BBD3" w14:textId="25D3F390" w:rsidR="007E0D86" w:rsidRDefault="007E0D86">
      <w:pPr>
        <w:pStyle w:val="GvdeMetni"/>
        <w:ind w:left="1219"/>
      </w:pPr>
    </w:p>
    <w:p w14:paraId="70A33A15" w14:textId="77777777" w:rsidR="007E0D86" w:rsidRDefault="007E0D86">
      <w:pPr>
        <w:pStyle w:val="GvdeMetni"/>
        <w:rPr>
          <w:sz w:val="26"/>
        </w:rPr>
      </w:pPr>
    </w:p>
    <w:p w14:paraId="40F82CD1" w14:textId="77777777" w:rsidR="007E0D86" w:rsidRDefault="007E0D86">
      <w:pPr>
        <w:pStyle w:val="GvdeMetni"/>
        <w:spacing w:before="5"/>
      </w:pPr>
    </w:p>
    <w:p w14:paraId="0BDC2B11" w14:textId="41BEF4FE" w:rsidR="007E0D86" w:rsidRDefault="006E5E52">
      <w:pPr>
        <w:pStyle w:val="GvdeMetni"/>
        <w:ind w:left="396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r w:rsidR="00B60D08">
        <w:t>’</w:t>
      </w:r>
      <w:r>
        <w:t>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11/12/2018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2018/37-01.</w:t>
      </w:r>
    </w:p>
    <w:sectPr w:rsidR="007E0D86">
      <w:pgSz w:w="11920" w:h="16850"/>
      <w:pgMar w:top="1340" w:right="1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6C6"/>
    <w:multiLevelType w:val="hybridMultilevel"/>
    <w:tmpl w:val="EA52C88E"/>
    <w:lvl w:ilvl="0" w:tplc="743A38B2">
      <w:start w:val="1"/>
      <w:numFmt w:val="lowerLetter"/>
      <w:lvlText w:val="%1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D3ADE5E">
      <w:numFmt w:val="bullet"/>
      <w:lvlText w:val="•"/>
      <w:lvlJc w:val="left"/>
      <w:pPr>
        <w:ind w:left="2335" w:hanging="360"/>
      </w:pPr>
      <w:rPr>
        <w:rFonts w:hint="default"/>
      </w:rPr>
    </w:lvl>
    <w:lvl w:ilvl="2" w:tplc="68666DDC"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EE8C24FE"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AE2C61CC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637E394E"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DC66D63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7C369D94"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BE9AB226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" w15:restartNumberingAfterBreak="0">
    <w:nsid w:val="116E6830"/>
    <w:multiLevelType w:val="hybridMultilevel"/>
    <w:tmpl w:val="AC5CD8B4"/>
    <w:lvl w:ilvl="0" w:tplc="FA38E3C8">
      <w:start w:val="2"/>
      <w:numFmt w:val="decimal"/>
      <w:lvlText w:val="(%1)"/>
      <w:lvlJc w:val="left"/>
      <w:pPr>
        <w:ind w:left="231" w:hanging="384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1" w:tplc="2B28FC94">
      <w:numFmt w:val="bullet"/>
      <w:lvlText w:val="•"/>
      <w:lvlJc w:val="left"/>
      <w:pPr>
        <w:ind w:left="1147" w:hanging="384"/>
      </w:pPr>
      <w:rPr>
        <w:rFonts w:hint="default"/>
      </w:rPr>
    </w:lvl>
    <w:lvl w:ilvl="2" w:tplc="55482588">
      <w:numFmt w:val="bullet"/>
      <w:lvlText w:val="•"/>
      <w:lvlJc w:val="left"/>
      <w:pPr>
        <w:ind w:left="2054" w:hanging="384"/>
      </w:pPr>
      <w:rPr>
        <w:rFonts w:hint="default"/>
      </w:rPr>
    </w:lvl>
    <w:lvl w:ilvl="3" w:tplc="599E9D64">
      <w:numFmt w:val="bullet"/>
      <w:lvlText w:val="•"/>
      <w:lvlJc w:val="left"/>
      <w:pPr>
        <w:ind w:left="2961" w:hanging="384"/>
      </w:pPr>
      <w:rPr>
        <w:rFonts w:hint="default"/>
      </w:rPr>
    </w:lvl>
    <w:lvl w:ilvl="4" w:tplc="6FF8E728">
      <w:numFmt w:val="bullet"/>
      <w:lvlText w:val="•"/>
      <w:lvlJc w:val="left"/>
      <w:pPr>
        <w:ind w:left="3868" w:hanging="384"/>
      </w:pPr>
      <w:rPr>
        <w:rFonts w:hint="default"/>
      </w:rPr>
    </w:lvl>
    <w:lvl w:ilvl="5" w:tplc="92BCB3A4">
      <w:numFmt w:val="bullet"/>
      <w:lvlText w:val="•"/>
      <w:lvlJc w:val="left"/>
      <w:pPr>
        <w:ind w:left="4775" w:hanging="384"/>
      </w:pPr>
      <w:rPr>
        <w:rFonts w:hint="default"/>
      </w:rPr>
    </w:lvl>
    <w:lvl w:ilvl="6" w:tplc="20FCBC8E">
      <w:numFmt w:val="bullet"/>
      <w:lvlText w:val="•"/>
      <w:lvlJc w:val="left"/>
      <w:pPr>
        <w:ind w:left="5682" w:hanging="384"/>
      </w:pPr>
      <w:rPr>
        <w:rFonts w:hint="default"/>
      </w:rPr>
    </w:lvl>
    <w:lvl w:ilvl="7" w:tplc="12500880">
      <w:numFmt w:val="bullet"/>
      <w:lvlText w:val="•"/>
      <w:lvlJc w:val="left"/>
      <w:pPr>
        <w:ind w:left="6589" w:hanging="384"/>
      </w:pPr>
      <w:rPr>
        <w:rFonts w:hint="default"/>
      </w:rPr>
    </w:lvl>
    <w:lvl w:ilvl="8" w:tplc="6E68EE56">
      <w:numFmt w:val="bullet"/>
      <w:lvlText w:val="•"/>
      <w:lvlJc w:val="left"/>
      <w:pPr>
        <w:ind w:left="7496" w:hanging="384"/>
      </w:pPr>
      <w:rPr>
        <w:rFonts w:hint="default"/>
      </w:rPr>
    </w:lvl>
  </w:abstractNum>
  <w:abstractNum w:abstractNumId="2" w15:restartNumberingAfterBreak="0">
    <w:nsid w:val="125D32AD"/>
    <w:multiLevelType w:val="hybridMultilevel"/>
    <w:tmpl w:val="C82E4740"/>
    <w:lvl w:ilvl="0" w:tplc="F4004B86">
      <w:start w:val="1"/>
      <w:numFmt w:val="lowerLetter"/>
      <w:lvlText w:val="%1)"/>
      <w:lvlJc w:val="left"/>
      <w:pPr>
        <w:ind w:left="111" w:hanging="29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D9320238">
      <w:numFmt w:val="bullet"/>
      <w:lvlText w:val="•"/>
      <w:lvlJc w:val="left"/>
      <w:pPr>
        <w:ind w:left="1015" w:hanging="298"/>
      </w:pPr>
      <w:rPr>
        <w:rFonts w:hint="default"/>
      </w:rPr>
    </w:lvl>
    <w:lvl w:ilvl="2" w:tplc="7318DDD8">
      <w:numFmt w:val="bullet"/>
      <w:lvlText w:val="•"/>
      <w:lvlJc w:val="left"/>
      <w:pPr>
        <w:ind w:left="1910" w:hanging="298"/>
      </w:pPr>
      <w:rPr>
        <w:rFonts w:hint="default"/>
      </w:rPr>
    </w:lvl>
    <w:lvl w:ilvl="3" w:tplc="239C87C8">
      <w:numFmt w:val="bullet"/>
      <w:lvlText w:val="•"/>
      <w:lvlJc w:val="left"/>
      <w:pPr>
        <w:ind w:left="2805" w:hanging="298"/>
      </w:pPr>
      <w:rPr>
        <w:rFonts w:hint="default"/>
      </w:rPr>
    </w:lvl>
    <w:lvl w:ilvl="4" w:tplc="A40AA64E">
      <w:numFmt w:val="bullet"/>
      <w:lvlText w:val="•"/>
      <w:lvlJc w:val="left"/>
      <w:pPr>
        <w:ind w:left="3700" w:hanging="298"/>
      </w:pPr>
      <w:rPr>
        <w:rFonts w:hint="default"/>
      </w:rPr>
    </w:lvl>
    <w:lvl w:ilvl="5" w:tplc="91A63272">
      <w:numFmt w:val="bullet"/>
      <w:lvlText w:val="•"/>
      <w:lvlJc w:val="left"/>
      <w:pPr>
        <w:ind w:left="4595" w:hanging="298"/>
      </w:pPr>
      <w:rPr>
        <w:rFonts w:hint="default"/>
      </w:rPr>
    </w:lvl>
    <w:lvl w:ilvl="6" w:tplc="CCF4352A">
      <w:numFmt w:val="bullet"/>
      <w:lvlText w:val="•"/>
      <w:lvlJc w:val="left"/>
      <w:pPr>
        <w:ind w:left="5490" w:hanging="298"/>
      </w:pPr>
      <w:rPr>
        <w:rFonts w:hint="default"/>
      </w:rPr>
    </w:lvl>
    <w:lvl w:ilvl="7" w:tplc="127686C6">
      <w:numFmt w:val="bullet"/>
      <w:lvlText w:val="•"/>
      <w:lvlJc w:val="left"/>
      <w:pPr>
        <w:ind w:left="6385" w:hanging="298"/>
      </w:pPr>
      <w:rPr>
        <w:rFonts w:hint="default"/>
      </w:rPr>
    </w:lvl>
    <w:lvl w:ilvl="8" w:tplc="CF1C14F4">
      <w:numFmt w:val="bullet"/>
      <w:lvlText w:val="•"/>
      <w:lvlJc w:val="left"/>
      <w:pPr>
        <w:ind w:left="7280" w:hanging="298"/>
      </w:pPr>
      <w:rPr>
        <w:rFonts w:hint="default"/>
      </w:rPr>
    </w:lvl>
  </w:abstractNum>
  <w:abstractNum w:abstractNumId="3" w15:restartNumberingAfterBreak="0">
    <w:nsid w:val="3F671173"/>
    <w:multiLevelType w:val="hybridMultilevel"/>
    <w:tmpl w:val="3B0ED640"/>
    <w:lvl w:ilvl="0" w:tplc="F4B21AA2">
      <w:start w:val="2"/>
      <w:numFmt w:val="decimal"/>
      <w:lvlText w:val="(%1)"/>
      <w:lvlJc w:val="left"/>
      <w:pPr>
        <w:ind w:left="11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16F608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1B98F6E8"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A9387D8E">
      <w:numFmt w:val="bullet"/>
      <w:lvlText w:val="•"/>
      <w:lvlJc w:val="left"/>
      <w:pPr>
        <w:ind w:left="2805" w:hanging="360"/>
      </w:pPr>
      <w:rPr>
        <w:rFonts w:hint="default"/>
      </w:rPr>
    </w:lvl>
    <w:lvl w:ilvl="4" w:tplc="22543A2A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BD8AD7EC"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2E1A09E8">
      <w:numFmt w:val="bullet"/>
      <w:lvlText w:val="•"/>
      <w:lvlJc w:val="left"/>
      <w:pPr>
        <w:ind w:left="5490" w:hanging="360"/>
      </w:pPr>
      <w:rPr>
        <w:rFonts w:hint="default"/>
      </w:rPr>
    </w:lvl>
    <w:lvl w:ilvl="7" w:tplc="8C9E360A"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71009D6E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4" w15:restartNumberingAfterBreak="0">
    <w:nsid w:val="4EA71101"/>
    <w:multiLevelType w:val="hybridMultilevel"/>
    <w:tmpl w:val="326CB172"/>
    <w:lvl w:ilvl="0" w:tplc="EC30B610">
      <w:start w:val="2"/>
      <w:numFmt w:val="decimal"/>
      <w:lvlText w:val="(%1)"/>
      <w:lvlJc w:val="left"/>
      <w:pPr>
        <w:ind w:left="111" w:hanging="353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FF7A9E92">
      <w:numFmt w:val="bullet"/>
      <w:lvlText w:val="•"/>
      <w:lvlJc w:val="left"/>
      <w:pPr>
        <w:ind w:left="1015" w:hanging="353"/>
      </w:pPr>
      <w:rPr>
        <w:rFonts w:hint="default"/>
      </w:rPr>
    </w:lvl>
    <w:lvl w:ilvl="2" w:tplc="CC8EF844">
      <w:numFmt w:val="bullet"/>
      <w:lvlText w:val="•"/>
      <w:lvlJc w:val="left"/>
      <w:pPr>
        <w:ind w:left="1910" w:hanging="353"/>
      </w:pPr>
      <w:rPr>
        <w:rFonts w:hint="default"/>
      </w:rPr>
    </w:lvl>
    <w:lvl w:ilvl="3" w:tplc="04823EB4">
      <w:numFmt w:val="bullet"/>
      <w:lvlText w:val="•"/>
      <w:lvlJc w:val="left"/>
      <w:pPr>
        <w:ind w:left="2805" w:hanging="353"/>
      </w:pPr>
      <w:rPr>
        <w:rFonts w:hint="default"/>
      </w:rPr>
    </w:lvl>
    <w:lvl w:ilvl="4" w:tplc="0A863326">
      <w:numFmt w:val="bullet"/>
      <w:lvlText w:val="•"/>
      <w:lvlJc w:val="left"/>
      <w:pPr>
        <w:ind w:left="3700" w:hanging="353"/>
      </w:pPr>
      <w:rPr>
        <w:rFonts w:hint="default"/>
      </w:rPr>
    </w:lvl>
    <w:lvl w:ilvl="5" w:tplc="82FC6CE6">
      <w:numFmt w:val="bullet"/>
      <w:lvlText w:val="•"/>
      <w:lvlJc w:val="left"/>
      <w:pPr>
        <w:ind w:left="4595" w:hanging="353"/>
      </w:pPr>
      <w:rPr>
        <w:rFonts w:hint="default"/>
      </w:rPr>
    </w:lvl>
    <w:lvl w:ilvl="6" w:tplc="4ADAF994">
      <w:numFmt w:val="bullet"/>
      <w:lvlText w:val="•"/>
      <w:lvlJc w:val="left"/>
      <w:pPr>
        <w:ind w:left="5490" w:hanging="353"/>
      </w:pPr>
      <w:rPr>
        <w:rFonts w:hint="default"/>
      </w:rPr>
    </w:lvl>
    <w:lvl w:ilvl="7" w:tplc="61BA74B4">
      <w:numFmt w:val="bullet"/>
      <w:lvlText w:val="•"/>
      <w:lvlJc w:val="left"/>
      <w:pPr>
        <w:ind w:left="6385" w:hanging="353"/>
      </w:pPr>
      <w:rPr>
        <w:rFonts w:hint="default"/>
      </w:rPr>
    </w:lvl>
    <w:lvl w:ilvl="8" w:tplc="A8C4EAB4">
      <w:numFmt w:val="bullet"/>
      <w:lvlText w:val="•"/>
      <w:lvlJc w:val="left"/>
      <w:pPr>
        <w:ind w:left="7280" w:hanging="353"/>
      </w:pPr>
      <w:rPr>
        <w:rFonts w:hint="default"/>
      </w:rPr>
    </w:lvl>
  </w:abstractNum>
  <w:abstractNum w:abstractNumId="5" w15:restartNumberingAfterBreak="0">
    <w:nsid w:val="6614551C"/>
    <w:multiLevelType w:val="hybridMultilevel"/>
    <w:tmpl w:val="DAA8E48E"/>
    <w:lvl w:ilvl="0" w:tplc="B156B286">
      <w:start w:val="1"/>
      <w:numFmt w:val="lowerLetter"/>
      <w:lvlText w:val="%1)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47816C8">
      <w:numFmt w:val="bullet"/>
      <w:lvlText w:val="•"/>
      <w:lvlJc w:val="left"/>
      <w:pPr>
        <w:ind w:left="1015" w:hanging="245"/>
      </w:pPr>
      <w:rPr>
        <w:rFonts w:hint="default"/>
      </w:rPr>
    </w:lvl>
    <w:lvl w:ilvl="2" w:tplc="780AACEA">
      <w:numFmt w:val="bullet"/>
      <w:lvlText w:val="•"/>
      <w:lvlJc w:val="left"/>
      <w:pPr>
        <w:ind w:left="1910" w:hanging="245"/>
      </w:pPr>
      <w:rPr>
        <w:rFonts w:hint="default"/>
      </w:rPr>
    </w:lvl>
    <w:lvl w:ilvl="3" w:tplc="1BC81618">
      <w:numFmt w:val="bullet"/>
      <w:lvlText w:val="•"/>
      <w:lvlJc w:val="left"/>
      <w:pPr>
        <w:ind w:left="2805" w:hanging="245"/>
      </w:pPr>
      <w:rPr>
        <w:rFonts w:hint="default"/>
      </w:rPr>
    </w:lvl>
    <w:lvl w:ilvl="4" w:tplc="D7D46D8E">
      <w:numFmt w:val="bullet"/>
      <w:lvlText w:val="•"/>
      <w:lvlJc w:val="left"/>
      <w:pPr>
        <w:ind w:left="3700" w:hanging="245"/>
      </w:pPr>
      <w:rPr>
        <w:rFonts w:hint="default"/>
      </w:rPr>
    </w:lvl>
    <w:lvl w:ilvl="5" w:tplc="44366192">
      <w:numFmt w:val="bullet"/>
      <w:lvlText w:val="•"/>
      <w:lvlJc w:val="left"/>
      <w:pPr>
        <w:ind w:left="4595" w:hanging="245"/>
      </w:pPr>
      <w:rPr>
        <w:rFonts w:hint="default"/>
      </w:rPr>
    </w:lvl>
    <w:lvl w:ilvl="6" w:tplc="80C6D4E2">
      <w:numFmt w:val="bullet"/>
      <w:lvlText w:val="•"/>
      <w:lvlJc w:val="left"/>
      <w:pPr>
        <w:ind w:left="5490" w:hanging="245"/>
      </w:pPr>
      <w:rPr>
        <w:rFonts w:hint="default"/>
      </w:rPr>
    </w:lvl>
    <w:lvl w:ilvl="7" w:tplc="9828A658">
      <w:numFmt w:val="bullet"/>
      <w:lvlText w:val="•"/>
      <w:lvlJc w:val="left"/>
      <w:pPr>
        <w:ind w:left="6385" w:hanging="245"/>
      </w:pPr>
      <w:rPr>
        <w:rFonts w:hint="default"/>
      </w:rPr>
    </w:lvl>
    <w:lvl w:ilvl="8" w:tplc="FDF67AE8">
      <w:numFmt w:val="bullet"/>
      <w:lvlText w:val="•"/>
      <w:lvlJc w:val="left"/>
      <w:pPr>
        <w:ind w:left="7280" w:hanging="245"/>
      </w:pPr>
      <w:rPr>
        <w:rFonts w:hint="default"/>
      </w:rPr>
    </w:lvl>
  </w:abstractNum>
  <w:abstractNum w:abstractNumId="6" w15:restartNumberingAfterBreak="0">
    <w:nsid w:val="7BAF415B"/>
    <w:multiLevelType w:val="hybridMultilevel"/>
    <w:tmpl w:val="094AD274"/>
    <w:lvl w:ilvl="0" w:tplc="3ACC1A12">
      <w:start w:val="2"/>
      <w:numFmt w:val="decimal"/>
      <w:lvlText w:val="(%1)"/>
      <w:lvlJc w:val="left"/>
      <w:pPr>
        <w:ind w:left="116" w:hanging="418"/>
        <w:jc w:val="righ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6F4E71FE">
      <w:start w:val="1"/>
      <w:numFmt w:val="lowerLetter"/>
      <w:lvlText w:val="(%2)"/>
      <w:lvlJc w:val="left"/>
      <w:pPr>
        <w:ind w:left="116" w:hanging="41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A6742A6E">
      <w:numFmt w:val="bullet"/>
      <w:lvlText w:val="•"/>
      <w:lvlJc w:val="left"/>
      <w:pPr>
        <w:ind w:left="1958" w:hanging="413"/>
      </w:pPr>
      <w:rPr>
        <w:rFonts w:hint="default"/>
      </w:rPr>
    </w:lvl>
    <w:lvl w:ilvl="3" w:tplc="21B0B76C">
      <w:numFmt w:val="bullet"/>
      <w:lvlText w:val="•"/>
      <w:lvlJc w:val="left"/>
      <w:pPr>
        <w:ind w:left="2877" w:hanging="413"/>
      </w:pPr>
      <w:rPr>
        <w:rFonts w:hint="default"/>
      </w:rPr>
    </w:lvl>
    <w:lvl w:ilvl="4" w:tplc="52005DBE">
      <w:numFmt w:val="bullet"/>
      <w:lvlText w:val="•"/>
      <w:lvlJc w:val="left"/>
      <w:pPr>
        <w:ind w:left="3796" w:hanging="413"/>
      </w:pPr>
      <w:rPr>
        <w:rFonts w:hint="default"/>
      </w:rPr>
    </w:lvl>
    <w:lvl w:ilvl="5" w:tplc="D80CF160">
      <w:numFmt w:val="bullet"/>
      <w:lvlText w:val="•"/>
      <w:lvlJc w:val="left"/>
      <w:pPr>
        <w:ind w:left="4715" w:hanging="413"/>
      </w:pPr>
      <w:rPr>
        <w:rFonts w:hint="default"/>
      </w:rPr>
    </w:lvl>
    <w:lvl w:ilvl="6" w:tplc="7F86AEEE">
      <w:numFmt w:val="bullet"/>
      <w:lvlText w:val="•"/>
      <w:lvlJc w:val="left"/>
      <w:pPr>
        <w:ind w:left="5634" w:hanging="413"/>
      </w:pPr>
      <w:rPr>
        <w:rFonts w:hint="default"/>
      </w:rPr>
    </w:lvl>
    <w:lvl w:ilvl="7" w:tplc="79763EB4">
      <w:numFmt w:val="bullet"/>
      <w:lvlText w:val="•"/>
      <w:lvlJc w:val="left"/>
      <w:pPr>
        <w:ind w:left="6553" w:hanging="413"/>
      </w:pPr>
      <w:rPr>
        <w:rFonts w:hint="default"/>
      </w:rPr>
    </w:lvl>
    <w:lvl w:ilvl="8" w:tplc="E34A2B78">
      <w:numFmt w:val="bullet"/>
      <w:lvlText w:val="•"/>
      <w:lvlJc w:val="left"/>
      <w:pPr>
        <w:ind w:left="7472" w:hanging="41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LE0NzAwsbA0NLZU0lEKTi0uzszPAykwrQUAQxsnzSwAAAA="/>
  </w:docVars>
  <w:rsids>
    <w:rsidRoot w:val="00C01C43"/>
    <w:rsid w:val="000019A7"/>
    <w:rsid w:val="0015166F"/>
    <w:rsid w:val="001B021D"/>
    <w:rsid w:val="003B40A8"/>
    <w:rsid w:val="003E040E"/>
    <w:rsid w:val="00417AE6"/>
    <w:rsid w:val="00440511"/>
    <w:rsid w:val="0044600B"/>
    <w:rsid w:val="004F144C"/>
    <w:rsid w:val="005869BE"/>
    <w:rsid w:val="00681A70"/>
    <w:rsid w:val="00692307"/>
    <w:rsid w:val="006C2261"/>
    <w:rsid w:val="006E5E52"/>
    <w:rsid w:val="00746900"/>
    <w:rsid w:val="00787C12"/>
    <w:rsid w:val="007E0D86"/>
    <w:rsid w:val="008C26C7"/>
    <w:rsid w:val="00910823"/>
    <w:rsid w:val="00935545"/>
    <w:rsid w:val="00B60D08"/>
    <w:rsid w:val="00C01C43"/>
    <w:rsid w:val="00DE648E"/>
    <w:rsid w:val="00E55AF2"/>
    <w:rsid w:val="00F559B4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12D3"/>
  <w15:docId w15:val="{4A3C3035-4E1A-4474-A60B-682D4F1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939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1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eParagraf2">
    <w:name w:val="P68B1DB1-ListeParagraf2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Şebnem GÜNGÖR</cp:lastModifiedBy>
  <cp:revision>2</cp:revision>
  <dcterms:created xsi:type="dcterms:W3CDTF">2021-10-20T11:25:00Z</dcterms:created>
  <dcterms:modified xsi:type="dcterms:W3CDTF">2021-10-20T11:25:00Z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</Properties>
</file>