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A80D" w14:textId="77777777" w:rsidR="0042229B" w:rsidRDefault="00F72CF3">
      <w:pPr>
        <w:pStyle w:val="Balk1"/>
        <w:spacing w:before="73"/>
        <w:ind w:left="2244" w:right="2247"/>
        <w:jc w:val="center"/>
      </w:pPr>
      <w:r>
        <w:t>T.C.</w:t>
      </w:r>
    </w:p>
    <w:p w14:paraId="2261D58A" w14:textId="77777777" w:rsidR="0042229B" w:rsidRDefault="00F72CF3">
      <w:pPr>
        <w:pStyle w:val="P68B1DB1-Normal1"/>
        <w:spacing w:before="182"/>
        <w:ind w:left="2247" w:right="2247"/>
        <w:jc w:val="center"/>
      </w:pPr>
      <w:r>
        <w:t>ISTANBUL MEDIPOL UNIVERSITY</w:t>
      </w:r>
    </w:p>
    <w:p w14:paraId="1E49C84E" w14:textId="467D02E7" w:rsidR="0042229B" w:rsidRDefault="00F72CF3" w:rsidP="006825A3">
      <w:pPr>
        <w:pStyle w:val="P68B1DB1-Normal1"/>
        <w:spacing w:before="182"/>
        <w:ind w:left="2247" w:right="2247"/>
        <w:jc w:val="center"/>
      </w:pPr>
      <w:r>
        <w:t xml:space="preserve">SCHOLARSHIP AND </w:t>
      </w:r>
      <w:r w:rsidR="006825A3">
        <w:t xml:space="preserve">DISCOUNT </w:t>
      </w:r>
      <w:r>
        <w:t>OPPORTUNITIES INSTRUCTION</w:t>
      </w:r>
    </w:p>
    <w:p w14:paraId="0F962285" w14:textId="77777777" w:rsidR="0042229B" w:rsidRDefault="0042229B">
      <w:pPr>
        <w:pStyle w:val="GvdeMetni"/>
        <w:ind w:left="0"/>
        <w:rPr>
          <w:b/>
          <w:sz w:val="20"/>
        </w:rPr>
      </w:pPr>
    </w:p>
    <w:p w14:paraId="0DB6F50D" w14:textId="77777777" w:rsidR="0042229B" w:rsidRDefault="0042229B">
      <w:pPr>
        <w:pStyle w:val="GvdeMetni"/>
        <w:spacing w:before="10"/>
        <w:ind w:left="0"/>
        <w:rPr>
          <w:b/>
          <w:sz w:val="27"/>
        </w:rPr>
      </w:pPr>
    </w:p>
    <w:p w14:paraId="3EE3B80F" w14:textId="77777777" w:rsidR="0042229B" w:rsidRDefault="0042229B">
      <w:pPr>
        <w:rPr>
          <w:sz w:val="27"/>
        </w:rPr>
        <w:sectPr w:rsidR="0042229B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4118E41A" w14:textId="77777777" w:rsidR="0042229B" w:rsidRDefault="0042229B">
      <w:pPr>
        <w:pStyle w:val="GvdeMetni"/>
        <w:ind w:left="0"/>
        <w:rPr>
          <w:b/>
          <w:sz w:val="26"/>
        </w:rPr>
      </w:pPr>
    </w:p>
    <w:p w14:paraId="72F38C50" w14:textId="77777777" w:rsidR="0042229B" w:rsidRDefault="0042229B">
      <w:pPr>
        <w:pStyle w:val="GvdeMetni"/>
        <w:ind w:left="0"/>
        <w:rPr>
          <w:b/>
          <w:sz w:val="26"/>
        </w:rPr>
      </w:pPr>
    </w:p>
    <w:p w14:paraId="7E74E109" w14:textId="77777777" w:rsidR="0042229B" w:rsidRDefault="00F72CF3">
      <w:pPr>
        <w:spacing w:before="90"/>
        <w:ind w:left="750" w:right="370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FIRST SECTION</w:t>
      </w:r>
    </w:p>
    <w:p w14:paraId="64EA18DE" w14:textId="43316287" w:rsidR="0042229B" w:rsidRDefault="00F72CF3">
      <w:pPr>
        <w:pStyle w:val="P68B1DB1-Normal1"/>
        <w:spacing w:before="180"/>
        <w:ind w:left="804" w:right="3702"/>
        <w:jc w:val="center"/>
      </w:pPr>
      <w:proofErr w:type="spellStart"/>
      <w:r>
        <w:t>Aim</w:t>
      </w:r>
      <w:proofErr w:type="spellEnd"/>
      <w:r>
        <w:t xml:space="preserve">, </w:t>
      </w:r>
      <w:proofErr w:type="spellStart"/>
      <w:r>
        <w:t>Scope</w:t>
      </w:r>
      <w:proofErr w:type="spellEnd"/>
      <w:r>
        <w:t>, Definition</w:t>
      </w:r>
    </w:p>
    <w:p w14:paraId="589D9D6C" w14:textId="7DB336C4" w:rsidR="0060234E" w:rsidRDefault="0060234E">
      <w:pPr>
        <w:pStyle w:val="P68B1DB1-Normal1"/>
        <w:spacing w:before="180"/>
        <w:ind w:left="804" w:right="3702"/>
        <w:jc w:val="center"/>
      </w:pPr>
      <w:proofErr w:type="spellStart"/>
      <w:r>
        <w:t>Aim</w:t>
      </w:r>
      <w:proofErr w:type="spellEnd"/>
    </w:p>
    <w:p w14:paraId="03C8ED92" w14:textId="77777777" w:rsidR="0042229B" w:rsidRDefault="0042229B">
      <w:pPr>
        <w:jc w:val="center"/>
        <w:rPr>
          <w:sz w:val="24"/>
        </w:rPr>
        <w:sectPr w:rsidR="0042229B">
          <w:type w:val="continuous"/>
          <w:pgSz w:w="11910" w:h="16840"/>
          <w:pgMar w:top="1040" w:right="1020" w:bottom="280" w:left="1020" w:header="708" w:footer="708" w:gutter="0"/>
          <w:cols w:num="2" w:space="708" w:equalWidth="0">
            <w:col w:w="1420" w:space="1530"/>
            <w:col w:w="6920"/>
          </w:cols>
        </w:sectPr>
      </w:pPr>
    </w:p>
    <w:p w14:paraId="4E4EA340" w14:textId="2A6C12FF" w:rsidR="0042229B" w:rsidRDefault="00F72CF3">
      <w:pPr>
        <w:pStyle w:val="GvdeMetni"/>
        <w:spacing w:before="182" w:line="259" w:lineRule="auto"/>
        <w:ind w:firstLine="708"/>
      </w:pPr>
      <w:r>
        <w:rPr>
          <w:b/>
        </w:rPr>
        <w:t>A</w:t>
      </w:r>
      <w:r w:rsidR="00054691">
        <w:rPr>
          <w:b/>
        </w:rPr>
        <w:t xml:space="preserve">RTICLE </w:t>
      </w:r>
      <w:r>
        <w:rPr>
          <w:b/>
        </w:rPr>
        <w:t xml:space="preserve">1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 w:rsidR="006825A3">
        <w:t>scholarship</w:t>
      </w:r>
      <w:r>
        <w:t>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9D9A458" w14:textId="77777777" w:rsidR="0042229B" w:rsidRDefault="0042229B" w:rsidP="0060234E">
      <w:pPr>
        <w:pStyle w:val="GvdeMetni"/>
        <w:spacing w:before="7"/>
        <w:ind w:left="0"/>
        <w:jc w:val="center"/>
        <w:rPr>
          <w:sz w:val="27"/>
        </w:rPr>
      </w:pPr>
    </w:p>
    <w:p w14:paraId="6D82927E" w14:textId="77777777" w:rsidR="0042229B" w:rsidRDefault="00F72CF3" w:rsidP="0060234E">
      <w:pPr>
        <w:pStyle w:val="Balk1"/>
        <w:jc w:val="center"/>
      </w:pPr>
      <w:proofErr w:type="spellStart"/>
      <w:r>
        <w:t>Scope</w:t>
      </w:r>
      <w:proofErr w:type="spellEnd"/>
    </w:p>
    <w:p w14:paraId="453AD366" w14:textId="240BAD46" w:rsidR="0042229B" w:rsidRDefault="00F72CF3">
      <w:pPr>
        <w:pStyle w:val="GvdeMetni"/>
        <w:spacing w:before="182"/>
        <w:ind w:left="820"/>
      </w:pPr>
      <w:r>
        <w:rPr>
          <w:b/>
        </w:rPr>
        <w:t>A</w:t>
      </w:r>
      <w:r w:rsidR="00054691">
        <w:rPr>
          <w:b/>
        </w:rPr>
        <w:t xml:space="preserve">RTICLE </w:t>
      </w:r>
      <w:r>
        <w:rPr>
          <w:b/>
        </w:rPr>
        <w:t xml:space="preserve">2 –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14:paraId="7CCCD1FC" w14:textId="12F73C9F" w:rsidR="0042229B" w:rsidRDefault="00F72CF3">
      <w:pPr>
        <w:pStyle w:val="GvdeMetni"/>
        <w:spacing w:before="21"/>
      </w:pPr>
      <w:proofErr w:type="spellStart"/>
      <w:proofErr w:type="gramStart"/>
      <w:r>
        <w:t>educational</w:t>
      </w:r>
      <w:proofErr w:type="spellEnd"/>
      <w:proofErr w:type="gramEnd"/>
      <w:r>
        <w:t xml:space="preserve"> </w:t>
      </w:r>
      <w:proofErr w:type="spellStart"/>
      <w:r w:rsidR="006825A3">
        <w:t>scholarship</w:t>
      </w:r>
      <w:r>
        <w:t>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58A099E5" w14:textId="77777777" w:rsidR="0042229B" w:rsidRDefault="0042229B">
      <w:pPr>
        <w:pStyle w:val="GvdeMetni"/>
        <w:ind w:left="0"/>
        <w:rPr>
          <w:sz w:val="26"/>
        </w:rPr>
      </w:pPr>
    </w:p>
    <w:p w14:paraId="243CCF05" w14:textId="77777777" w:rsidR="0042229B" w:rsidRDefault="0042229B" w:rsidP="0060234E">
      <w:pPr>
        <w:pStyle w:val="GvdeMetni"/>
        <w:spacing w:before="8"/>
        <w:ind w:left="0"/>
        <w:jc w:val="center"/>
        <w:rPr>
          <w:sz w:val="29"/>
        </w:rPr>
      </w:pPr>
    </w:p>
    <w:p w14:paraId="4BDEAAB6" w14:textId="77777777" w:rsidR="0042229B" w:rsidRDefault="00F72CF3" w:rsidP="0060234E">
      <w:pPr>
        <w:pStyle w:val="Balk1"/>
        <w:jc w:val="center"/>
      </w:pPr>
      <w:proofErr w:type="spellStart"/>
      <w:r>
        <w:t>Definitions</w:t>
      </w:r>
      <w:proofErr w:type="spellEnd"/>
    </w:p>
    <w:p w14:paraId="3847F54A" w14:textId="008298AF" w:rsidR="0042229B" w:rsidRPr="00F72CF3" w:rsidRDefault="00F72CF3">
      <w:pPr>
        <w:pStyle w:val="P68B1DB1-Normal2"/>
        <w:spacing w:before="182"/>
        <w:ind w:left="820"/>
        <w:rPr>
          <w:b/>
          <w:bCs/>
        </w:rPr>
      </w:pPr>
      <w:r w:rsidRPr="00F72CF3">
        <w:rPr>
          <w:b/>
          <w:bCs/>
        </w:rPr>
        <w:t>A</w:t>
      </w:r>
      <w:r w:rsidR="00054691">
        <w:rPr>
          <w:b/>
          <w:bCs/>
        </w:rPr>
        <w:t>RTICLE</w:t>
      </w:r>
      <w:r w:rsidRPr="00F72CF3">
        <w:rPr>
          <w:b/>
          <w:bCs/>
        </w:rPr>
        <w:t xml:space="preserve"> </w:t>
      </w:r>
      <w:proofErr w:type="gramStart"/>
      <w:r w:rsidRPr="00F72CF3">
        <w:rPr>
          <w:b/>
          <w:bCs/>
        </w:rPr>
        <w:t>3</w:t>
      </w:r>
      <w:r>
        <w:rPr>
          <w:b/>
          <w:bCs/>
        </w:rPr>
        <w:t xml:space="preserve">: </w:t>
      </w:r>
      <w:r w:rsidR="006825A3">
        <w:t xml:space="preserve"> </w:t>
      </w:r>
      <w:proofErr w:type="spellStart"/>
      <w:r w:rsidR="006825A3">
        <w:t>The</w:t>
      </w:r>
      <w:proofErr w:type="spellEnd"/>
      <w:proofErr w:type="gramEnd"/>
      <w:r w:rsidR="006825A3">
        <w:t xml:space="preserve"> </w:t>
      </w:r>
      <w:proofErr w:type="spellStart"/>
      <w:r w:rsidR="006825A3">
        <w:t>definitions</w:t>
      </w:r>
      <w:proofErr w:type="spellEnd"/>
      <w:r w:rsidR="006825A3">
        <w:t xml:space="preserve"> in </w:t>
      </w:r>
      <w:proofErr w:type="spellStart"/>
      <w:r w:rsidR="006825A3">
        <w:t>this</w:t>
      </w:r>
      <w:proofErr w:type="spellEnd"/>
      <w:r w:rsidR="006825A3">
        <w:t xml:space="preserve"> </w:t>
      </w:r>
      <w:proofErr w:type="spellStart"/>
      <w:r w:rsidR="006825A3">
        <w:t>instruction</w:t>
      </w:r>
      <w:proofErr w:type="spellEnd"/>
      <w:r w:rsidR="006825A3">
        <w:t xml:space="preserve"> </w:t>
      </w:r>
      <w:proofErr w:type="spellStart"/>
      <w:r w:rsidRPr="00F72CF3">
        <w:t>refer</w:t>
      </w:r>
      <w:proofErr w:type="spellEnd"/>
      <w:r w:rsidRPr="00F72CF3">
        <w:t xml:space="preserve"> </w:t>
      </w:r>
      <w:proofErr w:type="spellStart"/>
      <w:r w:rsidRPr="00F72CF3">
        <w:t>to</w:t>
      </w:r>
      <w:proofErr w:type="spellEnd"/>
      <w:r>
        <w:rPr>
          <w:b/>
          <w:bCs/>
        </w:rPr>
        <w:t>;</w:t>
      </w:r>
    </w:p>
    <w:p w14:paraId="3B99E44F" w14:textId="77777777" w:rsidR="0042229B" w:rsidRDefault="00F72CF3">
      <w:pPr>
        <w:pStyle w:val="P68B1DB1-ListParagraph3"/>
        <w:numPr>
          <w:ilvl w:val="0"/>
          <w:numId w:val="7"/>
        </w:numPr>
        <w:tabs>
          <w:tab w:val="left" w:pos="1066"/>
        </w:tabs>
        <w:spacing w:before="179"/>
        <w:ind w:firstLine="708"/>
      </w:pPr>
      <w:proofErr w:type="spellStart"/>
      <w:r>
        <w:t>Unit</w:t>
      </w:r>
      <w:proofErr w:type="spellEnd"/>
      <w:r>
        <w:t xml:space="preserve">: </w:t>
      </w:r>
      <w:proofErr w:type="spellStart"/>
      <w:r>
        <w:t>Faculties</w:t>
      </w:r>
      <w:proofErr w:type="spellEnd"/>
      <w:r>
        <w:t xml:space="preserve">, </w:t>
      </w:r>
      <w:proofErr w:type="spellStart"/>
      <w:r>
        <w:t>colleges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9D88F08" w14:textId="77777777" w:rsidR="0042229B" w:rsidRDefault="00F72CF3">
      <w:pPr>
        <w:pStyle w:val="P68B1DB1-ListParagraph3"/>
        <w:numPr>
          <w:ilvl w:val="0"/>
          <w:numId w:val="7"/>
        </w:numPr>
        <w:tabs>
          <w:tab w:val="left" w:pos="1080"/>
        </w:tabs>
        <w:spacing w:before="181"/>
        <w:ind w:left="1080" w:hanging="260"/>
      </w:pPr>
      <w:proofErr w:type="spellStart"/>
      <w:r>
        <w:t>Scholarship</w:t>
      </w:r>
      <w:proofErr w:type="spellEnd"/>
      <w:r>
        <w:t xml:space="preserve">: Financial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14:paraId="23F3E1B3" w14:textId="2FA34B21" w:rsidR="0042229B" w:rsidRDefault="006825A3">
      <w:pPr>
        <w:pStyle w:val="P68B1DB1-ListParagraph3"/>
        <w:numPr>
          <w:ilvl w:val="0"/>
          <w:numId w:val="7"/>
        </w:numPr>
        <w:tabs>
          <w:tab w:val="left" w:pos="1068"/>
        </w:tabs>
        <w:spacing w:before="181"/>
        <w:ind w:left="1068" w:hanging="248"/>
      </w:pPr>
      <w:proofErr w:type="spellStart"/>
      <w:r>
        <w:t>Scholarship</w:t>
      </w:r>
      <w:proofErr w:type="spellEnd"/>
      <w:r w:rsidR="00F72CF3">
        <w:t xml:space="preserve">: </w:t>
      </w:r>
      <w:proofErr w:type="spellStart"/>
      <w:r w:rsidR="00F72CF3">
        <w:t>Education</w:t>
      </w:r>
      <w:proofErr w:type="spellEnd"/>
      <w:r w:rsidR="00F72CF3">
        <w:t xml:space="preserve"> </w:t>
      </w:r>
      <w:proofErr w:type="spellStart"/>
      <w:r>
        <w:t>scholarship</w:t>
      </w:r>
      <w:proofErr w:type="spellEnd"/>
      <w:r w:rsidR="00F72CF3">
        <w:t xml:space="preserve"> </w:t>
      </w:r>
      <w:proofErr w:type="spellStart"/>
      <w:r w:rsidR="00F72CF3">
        <w:t>provided</w:t>
      </w:r>
      <w:proofErr w:type="spellEnd"/>
      <w:r w:rsidR="00F72CF3">
        <w:t xml:space="preserve"> </w:t>
      </w:r>
      <w:proofErr w:type="spellStart"/>
      <w:r w:rsidR="00F72CF3">
        <w:t>to</w:t>
      </w:r>
      <w:proofErr w:type="spellEnd"/>
      <w:r w:rsidR="00F72CF3">
        <w:t xml:space="preserve"> </w:t>
      </w:r>
      <w:proofErr w:type="spellStart"/>
      <w:r w:rsidR="00F72CF3">
        <w:t>students</w:t>
      </w:r>
      <w:proofErr w:type="spellEnd"/>
      <w:r w:rsidR="00F72CF3">
        <w:t>,</w:t>
      </w:r>
    </w:p>
    <w:p w14:paraId="5E2667EB" w14:textId="77777777" w:rsidR="0042229B" w:rsidRDefault="00F72CF3">
      <w:pPr>
        <w:pStyle w:val="GvdeMetni"/>
        <w:spacing w:before="181"/>
        <w:ind w:left="820"/>
      </w:pPr>
      <w:proofErr w:type="gramStart"/>
      <w:r>
        <w:t>ç</w:t>
      </w:r>
      <w:proofErr w:type="gramEnd"/>
      <w:r>
        <w:t xml:space="preserve">) Board of </w:t>
      </w:r>
      <w:proofErr w:type="spellStart"/>
      <w:r>
        <w:t>Trustees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Board of </w:t>
      </w:r>
      <w:proofErr w:type="spellStart"/>
      <w:r>
        <w:t>Trustees</w:t>
      </w:r>
      <w:proofErr w:type="spellEnd"/>
      <w:r>
        <w:t>,</w:t>
      </w:r>
    </w:p>
    <w:p w14:paraId="026D7EB0" w14:textId="77777777" w:rsidR="0042229B" w:rsidRDefault="00F72CF3">
      <w:pPr>
        <w:pStyle w:val="P68B1DB1-ListParagraph3"/>
        <w:numPr>
          <w:ilvl w:val="0"/>
          <w:numId w:val="7"/>
        </w:numPr>
        <w:tabs>
          <w:tab w:val="left" w:pos="1080"/>
        </w:tabs>
        <w:spacing w:before="179"/>
        <w:ind w:left="1080" w:hanging="260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3DA1D106" w14:textId="77777777" w:rsidR="0042229B" w:rsidRDefault="00F72CF3">
      <w:pPr>
        <w:pStyle w:val="P68B1DB1-ListParagraph3"/>
        <w:numPr>
          <w:ilvl w:val="0"/>
          <w:numId w:val="7"/>
        </w:numPr>
        <w:tabs>
          <w:tab w:val="left" w:pos="1066"/>
        </w:tabs>
        <w:spacing w:before="182"/>
        <w:ind w:firstLine="708"/>
      </w:pPr>
      <w:proofErr w:type="spellStart"/>
      <w:proofErr w:type="gramStart"/>
      <w:r>
        <w:t>Senate</w:t>
      </w:r>
      <w:proofErr w:type="spellEnd"/>
      <w:proofErr w:type="gram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03DC97AC" w14:textId="77777777" w:rsidR="0042229B" w:rsidRDefault="00F72CF3">
      <w:pPr>
        <w:pStyle w:val="P68B1DB1-ListParagraph3"/>
        <w:numPr>
          <w:ilvl w:val="0"/>
          <w:numId w:val="7"/>
        </w:numPr>
        <w:tabs>
          <w:tab w:val="left" w:pos="1040"/>
        </w:tabs>
        <w:spacing w:before="182" w:line="259" w:lineRule="auto"/>
        <w:ind w:right="165" w:firstLine="708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Grade Point </w:t>
      </w:r>
      <w:proofErr w:type="spellStart"/>
      <w:r>
        <w:t>Average</w:t>
      </w:r>
      <w:proofErr w:type="spellEnd"/>
      <w:r>
        <w:t xml:space="preserve"> (SANO):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total ECTS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,</w:t>
      </w:r>
    </w:p>
    <w:p w14:paraId="40B34659" w14:textId="77777777" w:rsidR="0042229B" w:rsidRDefault="00F72CF3">
      <w:pPr>
        <w:pStyle w:val="P68B1DB1-ListParagraph3"/>
        <w:numPr>
          <w:ilvl w:val="0"/>
          <w:numId w:val="7"/>
        </w:numPr>
        <w:tabs>
          <w:tab w:val="left" w:pos="1080"/>
        </w:tabs>
        <w:spacing w:before="161"/>
        <w:ind w:left="1080" w:hanging="260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389EAC42" w14:textId="77777777" w:rsidR="0042229B" w:rsidRDefault="00F72CF3">
      <w:pPr>
        <w:pStyle w:val="GvdeMetni"/>
        <w:spacing w:before="182"/>
        <w:ind w:left="820"/>
      </w:pPr>
      <w:r>
        <w:t>.</w:t>
      </w:r>
    </w:p>
    <w:p w14:paraId="3A433758" w14:textId="77777777" w:rsidR="0042229B" w:rsidRDefault="0042229B">
      <w:pPr>
        <w:sectPr w:rsidR="0042229B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3FAEFCDE" w14:textId="77777777" w:rsidR="0042229B" w:rsidRDefault="00F72CF3">
      <w:pPr>
        <w:pStyle w:val="Balk1"/>
        <w:spacing w:before="73"/>
        <w:ind w:left="2245" w:right="2247"/>
        <w:jc w:val="center"/>
      </w:pPr>
      <w:r>
        <w:lastRenderedPageBreak/>
        <w:t>SECOND SECTION</w:t>
      </w:r>
    </w:p>
    <w:p w14:paraId="37279895" w14:textId="1DCCB80B" w:rsidR="0042229B" w:rsidRDefault="00F72CF3" w:rsidP="0060234E">
      <w:pPr>
        <w:pStyle w:val="P68B1DB1-Normal1"/>
        <w:spacing w:before="182"/>
        <w:jc w:val="center"/>
      </w:pP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 w:rsidR="006825A3">
        <w:t>Scholarship</w:t>
      </w:r>
      <w:r>
        <w:t>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</w:p>
    <w:p w14:paraId="33ED5795" w14:textId="67C24D20" w:rsidR="0042229B" w:rsidRDefault="00F72CF3" w:rsidP="0060234E">
      <w:pPr>
        <w:pStyle w:val="P68B1DB1-Normal1"/>
        <w:jc w:val="center"/>
      </w:pPr>
      <w:proofErr w:type="spellStart"/>
      <w:r>
        <w:t>Martyr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Veteran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 w:rsidR="006825A3">
        <w:t>Scholarships</w:t>
      </w:r>
      <w:proofErr w:type="spellEnd"/>
    </w:p>
    <w:p w14:paraId="3345B88F" w14:textId="6F416C4F" w:rsidR="0042229B" w:rsidRDefault="00F72CF3">
      <w:pPr>
        <w:pStyle w:val="GvdeMetni"/>
        <w:spacing w:before="182"/>
        <w:ind w:left="820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4 – </w:t>
      </w:r>
      <w:r>
        <w:t xml:space="preserve">(1)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education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of </w:t>
      </w:r>
      <w:proofErr w:type="spellStart"/>
      <w:r>
        <w:t>martyrs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veterans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603ECD">
        <w:t xml:space="preserve">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>,</w:t>
      </w:r>
    </w:p>
    <w:p w14:paraId="14C62017" w14:textId="77777777" w:rsidR="0042229B" w:rsidRDefault="00F72CF3">
      <w:pPr>
        <w:pStyle w:val="GvdeMetni"/>
        <w:spacing w:before="21"/>
      </w:pPr>
      <w:r>
        <w:t xml:space="preserve"> </w:t>
      </w:r>
      <w:proofErr w:type="spellStart"/>
      <w:proofErr w:type="gramStart"/>
      <w:r>
        <w:t>from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accrued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0FC9D98A" w14:textId="5D9A3F18" w:rsidR="0042229B" w:rsidRDefault="00F72CF3">
      <w:pPr>
        <w:pStyle w:val="GvdeMetni"/>
        <w:spacing w:before="179"/>
        <w:ind w:left="820"/>
      </w:pPr>
      <w:r>
        <w:t xml:space="preserve">(2) </w:t>
      </w:r>
      <w:proofErr w:type="spellStart"/>
      <w:r>
        <w:t>This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 xml:space="preserve">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14:paraId="4DAB4C0A" w14:textId="77777777" w:rsidR="0042229B" w:rsidRDefault="0042229B">
      <w:pPr>
        <w:pStyle w:val="GvdeMetni"/>
        <w:ind w:left="0"/>
        <w:rPr>
          <w:sz w:val="26"/>
        </w:rPr>
      </w:pPr>
    </w:p>
    <w:p w14:paraId="3F90EB5B" w14:textId="77777777" w:rsidR="0042229B" w:rsidRDefault="0042229B" w:rsidP="0060234E">
      <w:pPr>
        <w:pStyle w:val="GvdeMetni"/>
        <w:spacing w:before="8"/>
        <w:ind w:left="0"/>
        <w:jc w:val="center"/>
        <w:rPr>
          <w:sz w:val="29"/>
        </w:rPr>
      </w:pPr>
    </w:p>
    <w:p w14:paraId="35A1E617" w14:textId="79A7AE02" w:rsidR="0042229B" w:rsidRDefault="00F72CF3" w:rsidP="0060234E">
      <w:pPr>
        <w:pStyle w:val="Balk1"/>
        <w:jc w:val="center"/>
      </w:pPr>
      <w:proofErr w:type="spellStart"/>
      <w:r>
        <w:t>Preference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</w:p>
    <w:p w14:paraId="1F04C6A4" w14:textId="08CCC8D6" w:rsidR="0042229B" w:rsidRDefault="00F72CF3">
      <w:pPr>
        <w:pStyle w:val="GvdeMetni"/>
        <w:spacing w:before="182" w:line="259" w:lineRule="auto"/>
        <w:ind w:right="111" w:firstLine="708"/>
        <w:jc w:val="both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5 – </w:t>
      </w:r>
      <w:r>
        <w:t xml:space="preserve">(1)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education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accrued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15454398" w14:textId="6DF406F0" w:rsidR="0042229B" w:rsidRDefault="00F72CF3">
      <w:pPr>
        <w:pStyle w:val="P68B1DB1-ListParagraph3"/>
        <w:numPr>
          <w:ilvl w:val="0"/>
          <w:numId w:val="6"/>
        </w:numPr>
        <w:tabs>
          <w:tab w:val="left" w:pos="1241"/>
        </w:tabs>
        <w:spacing w:before="160"/>
        <w:ind w:firstLine="708"/>
      </w:pPr>
      <w:proofErr w:type="spellStart"/>
      <w:r>
        <w:t>Preference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</w:p>
    <w:p w14:paraId="1D3ED2AC" w14:textId="77777777" w:rsidR="0042229B" w:rsidRDefault="00F72CF3">
      <w:pPr>
        <w:pStyle w:val="GvdeMetni"/>
        <w:spacing w:before="21"/>
      </w:pPr>
      <w:proofErr w:type="spellStart"/>
      <w:proofErr w:type="gramStart"/>
      <w:r>
        <w:t>valid</w:t>
      </w:r>
      <w:proofErr w:type="spellEnd"/>
      <w:proofErr w:type="gramEnd"/>
      <w:r>
        <w:rPr>
          <w:color w:val="FF0000"/>
        </w:rPr>
        <w:t>.</w:t>
      </w:r>
    </w:p>
    <w:p w14:paraId="0E24C9A8" w14:textId="7F4CD827" w:rsidR="0042229B" w:rsidRDefault="00F72CF3" w:rsidP="00F72CF3">
      <w:pPr>
        <w:pStyle w:val="P68B1DB1-ListParagraph3"/>
        <w:numPr>
          <w:ilvl w:val="0"/>
          <w:numId w:val="6"/>
        </w:numPr>
        <w:tabs>
          <w:tab w:val="left" w:pos="1145"/>
        </w:tabs>
        <w:spacing w:before="180"/>
        <w:ind w:left="1144" w:hanging="324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program; </w:t>
      </w:r>
      <w:proofErr w:type="spellStart"/>
      <w:r>
        <w:t>preference</w:t>
      </w:r>
      <w:proofErr w:type="spellEnd"/>
      <w:r>
        <w:t xml:space="preserve"> in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>
        <w:t>enrollment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in </w:t>
      </w:r>
      <w:proofErr w:type="spellStart"/>
      <w:r>
        <w:t>Internal</w:t>
      </w:r>
      <w:proofErr w:type="spellEnd"/>
      <w:r>
        <w:t xml:space="preserve"> Transfer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is </w:t>
      </w:r>
      <w:proofErr w:type="spellStart"/>
      <w:r>
        <w:t>applied</w:t>
      </w:r>
      <w:proofErr w:type="spellEnd"/>
      <w:r>
        <w:t>.</w:t>
      </w:r>
    </w:p>
    <w:p w14:paraId="3458FC36" w14:textId="36A8AB94" w:rsidR="0042229B" w:rsidRDefault="00F72CF3">
      <w:pPr>
        <w:pStyle w:val="P68B1DB1-ListParagraph3"/>
        <w:numPr>
          <w:ilvl w:val="0"/>
          <w:numId w:val="6"/>
        </w:numPr>
        <w:tabs>
          <w:tab w:val="left" w:pos="1162"/>
        </w:tabs>
        <w:spacing w:before="182" w:line="259" w:lineRule="auto"/>
        <w:ind w:right="115" w:firstLine="708"/>
        <w:jc w:val="both"/>
      </w:pPr>
      <w:r>
        <w:t xml:space="preserve">No </w:t>
      </w:r>
      <w:proofErr w:type="spellStart"/>
      <w:r>
        <w:t>preference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is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Music Program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Design </w:t>
      </w:r>
      <w:proofErr w:type="spellStart"/>
      <w:r>
        <w:t>and</w:t>
      </w:r>
      <w:proofErr w:type="spellEnd"/>
      <w:r>
        <w:t xml:space="preserve"> Architecture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23702">
        <w:t>Vertical</w:t>
      </w:r>
      <w:proofErr w:type="spellEnd"/>
      <w:r>
        <w:t xml:space="preserve"> Transfer </w:t>
      </w:r>
      <w:proofErr w:type="spellStart"/>
      <w:r>
        <w:t>Exam</w:t>
      </w:r>
      <w:proofErr w:type="spellEnd"/>
      <w:r>
        <w:t>.</w:t>
      </w:r>
    </w:p>
    <w:p w14:paraId="54D076B6" w14:textId="77777777" w:rsidR="0042229B" w:rsidRDefault="0042229B">
      <w:pPr>
        <w:pStyle w:val="GvdeMetni"/>
        <w:ind w:left="0"/>
        <w:rPr>
          <w:sz w:val="26"/>
        </w:rPr>
      </w:pPr>
    </w:p>
    <w:p w14:paraId="5C670ED0" w14:textId="77777777" w:rsidR="0042229B" w:rsidRDefault="0042229B">
      <w:pPr>
        <w:pStyle w:val="GvdeMetni"/>
        <w:spacing w:before="10"/>
        <w:ind w:left="0"/>
        <w:rPr>
          <w:sz w:val="27"/>
        </w:rPr>
      </w:pPr>
    </w:p>
    <w:p w14:paraId="78B03493" w14:textId="377B2512" w:rsidR="0042229B" w:rsidRDefault="00F72CF3" w:rsidP="0060234E">
      <w:pPr>
        <w:pStyle w:val="Balk1"/>
        <w:jc w:val="center"/>
      </w:pPr>
      <w:proofErr w:type="spellStart"/>
      <w:r>
        <w:t>Sibling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</w:p>
    <w:p w14:paraId="1ADDE4A4" w14:textId="510940C0" w:rsidR="0042229B" w:rsidRDefault="00F72CF3">
      <w:pPr>
        <w:pStyle w:val="GvdeMetni"/>
        <w:spacing w:before="182" w:line="259" w:lineRule="auto"/>
        <w:ind w:right="110" w:firstLine="708"/>
        <w:jc w:val="both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6 – </w:t>
      </w:r>
      <w:r>
        <w:t xml:space="preserve">(1) </w:t>
      </w:r>
      <w:proofErr w:type="spellStart"/>
      <w:r>
        <w:t>I</w:t>
      </w:r>
      <w:r w:rsidR="00603ECD">
        <w:t>f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sibling</w:t>
      </w:r>
      <w:proofErr w:type="spellEnd"/>
      <w:r>
        <w:t xml:space="preserve"> is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it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sibling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accrued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4D991728" w14:textId="5B0C1947" w:rsidR="0042229B" w:rsidRDefault="00F72CF3">
      <w:pPr>
        <w:pStyle w:val="GvdeMetni"/>
        <w:spacing w:before="161"/>
        <w:ind w:left="820"/>
      </w:pPr>
      <w:r>
        <w:t xml:space="preserve">(2) </w:t>
      </w:r>
      <w:proofErr w:type="spellStart"/>
      <w:r>
        <w:t>This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 xml:space="preserve">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051A407D" w14:textId="77777777" w:rsidR="0042229B" w:rsidRDefault="00F72CF3">
      <w:pPr>
        <w:pStyle w:val="GvdeMetni"/>
        <w:spacing w:before="21"/>
      </w:pPr>
      <w:proofErr w:type="spellStart"/>
      <w:proofErr w:type="gramStart"/>
      <w:r>
        <w:t>compulsory</w:t>
      </w:r>
      <w:proofErr w:type="spellEnd"/>
      <w:proofErr w:type="gram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14:paraId="5B289E8D" w14:textId="77777777" w:rsidR="0042229B" w:rsidRDefault="0042229B">
      <w:pPr>
        <w:pStyle w:val="GvdeMetni"/>
        <w:ind w:left="0"/>
        <w:rPr>
          <w:sz w:val="26"/>
        </w:rPr>
      </w:pPr>
    </w:p>
    <w:p w14:paraId="40576854" w14:textId="77777777" w:rsidR="0042229B" w:rsidRDefault="0042229B">
      <w:pPr>
        <w:pStyle w:val="GvdeMetni"/>
        <w:ind w:left="0"/>
        <w:rPr>
          <w:sz w:val="26"/>
        </w:rPr>
      </w:pPr>
    </w:p>
    <w:p w14:paraId="744A47F0" w14:textId="77777777" w:rsidR="0042229B" w:rsidRDefault="0042229B" w:rsidP="0060234E">
      <w:pPr>
        <w:pStyle w:val="GvdeMetni"/>
        <w:ind w:left="0"/>
        <w:jc w:val="center"/>
        <w:rPr>
          <w:sz w:val="26"/>
        </w:rPr>
      </w:pPr>
    </w:p>
    <w:p w14:paraId="60B6B1D4" w14:textId="77777777" w:rsidR="0042229B" w:rsidRDefault="00F72CF3" w:rsidP="0060234E">
      <w:pPr>
        <w:pStyle w:val="Balk1"/>
        <w:spacing w:before="199"/>
        <w:jc w:val="center"/>
      </w:pPr>
      <w:r>
        <w:t xml:space="preserve">ÖSYM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Scholarship</w:t>
      </w:r>
      <w:proofErr w:type="spellEnd"/>
    </w:p>
    <w:p w14:paraId="5BD104BB" w14:textId="5C6F694A" w:rsidR="0042229B" w:rsidRDefault="00F72CF3">
      <w:pPr>
        <w:pStyle w:val="GvdeMetni"/>
        <w:spacing w:before="182" w:line="259" w:lineRule="auto"/>
        <w:ind w:right="114" w:firstLine="708"/>
        <w:jc w:val="both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7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ranking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program,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LANGUAGE </w:t>
      </w:r>
      <w:proofErr w:type="spellStart"/>
      <w:r>
        <w:t>Score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14:paraId="7CAF574A" w14:textId="2EE2B901" w:rsidR="0042229B" w:rsidRDefault="00F72CF3">
      <w:pPr>
        <w:pStyle w:val="P68B1DB1-ListParagraph3"/>
        <w:numPr>
          <w:ilvl w:val="0"/>
          <w:numId w:val="5"/>
        </w:numPr>
        <w:tabs>
          <w:tab w:val="left" w:pos="1227"/>
        </w:tabs>
        <w:spacing w:before="161" w:line="259" w:lineRule="auto"/>
        <w:ind w:right="113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23702">
        <w:t>Vertical</w:t>
      </w:r>
      <w:proofErr w:type="spellEnd"/>
      <w:r>
        <w:t xml:space="preserve"> Transfer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>.</w:t>
      </w:r>
    </w:p>
    <w:p w14:paraId="6DB4BE85" w14:textId="77777777" w:rsidR="0042229B" w:rsidRDefault="00F72CF3">
      <w:pPr>
        <w:pStyle w:val="P68B1DB1-ListParagraph3"/>
        <w:numPr>
          <w:ilvl w:val="0"/>
          <w:numId w:val="5"/>
        </w:numPr>
        <w:tabs>
          <w:tab w:val="left" w:pos="1179"/>
        </w:tabs>
        <w:spacing w:before="161" w:line="259" w:lineRule="auto"/>
        <w:ind w:right="113" w:firstLine="708"/>
        <w:jc w:val="both"/>
      </w:pPr>
      <w:proofErr w:type="spellStart"/>
      <w:r>
        <w:t>Scholarships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, </w:t>
      </w:r>
      <w:proofErr w:type="spellStart"/>
      <w:r>
        <w:t>repeat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freeze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49FDF245" w14:textId="04E0325F" w:rsidR="0042229B" w:rsidRDefault="00F72CF3">
      <w:pPr>
        <w:pStyle w:val="P68B1DB1-ListParagraph3"/>
        <w:numPr>
          <w:ilvl w:val="0"/>
          <w:numId w:val="5"/>
        </w:numPr>
        <w:tabs>
          <w:tab w:val="left" w:pos="1160"/>
        </w:tabs>
        <w:spacing w:before="158"/>
        <w:ind w:left="1159" w:hanging="339"/>
      </w:pP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success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lastRenderedPageBreak/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rPr>
          <w:color w:val="FF0000"/>
        </w:rPr>
        <w:t>.</w:t>
      </w:r>
    </w:p>
    <w:p w14:paraId="2E4427F2" w14:textId="77777777" w:rsidR="0042229B" w:rsidRDefault="0042229B">
      <w:pPr>
        <w:rPr>
          <w:sz w:val="24"/>
        </w:rPr>
        <w:sectPr w:rsidR="0042229B">
          <w:pgSz w:w="11910" w:h="16840"/>
          <w:pgMar w:top="1040" w:right="1020" w:bottom="280" w:left="1020" w:header="708" w:footer="708" w:gutter="0"/>
          <w:cols w:space="708"/>
        </w:sectPr>
      </w:pPr>
    </w:p>
    <w:p w14:paraId="07BD3174" w14:textId="77777777" w:rsidR="0042229B" w:rsidRDefault="00F72CF3" w:rsidP="0060234E">
      <w:pPr>
        <w:pStyle w:val="Balk1"/>
        <w:spacing w:before="69"/>
        <w:jc w:val="center"/>
      </w:pPr>
      <w:proofErr w:type="spellStart"/>
      <w:r>
        <w:lastRenderedPageBreak/>
        <w:t>Success</w:t>
      </w:r>
      <w:proofErr w:type="spellEnd"/>
      <w:r>
        <w:t xml:space="preserve"> </w:t>
      </w:r>
      <w:proofErr w:type="spellStart"/>
      <w:r>
        <w:t>Scholarships</w:t>
      </w:r>
      <w:proofErr w:type="spellEnd"/>
    </w:p>
    <w:p w14:paraId="001EEE02" w14:textId="77777777" w:rsidR="0042229B" w:rsidRDefault="0042229B">
      <w:pPr>
        <w:pStyle w:val="GvdeMetni"/>
        <w:spacing w:before="11"/>
        <w:ind w:left="0"/>
        <w:rPr>
          <w:b/>
          <w:sz w:val="23"/>
        </w:rPr>
      </w:pPr>
    </w:p>
    <w:p w14:paraId="3D9D856A" w14:textId="01CB5B8B" w:rsidR="0042229B" w:rsidRDefault="00F72CF3">
      <w:pPr>
        <w:pStyle w:val="GvdeMetni"/>
        <w:ind w:right="110" w:firstLine="708"/>
        <w:jc w:val="both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8 – </w:t>
      </w:r>
      <w:r>
        <w:t xml:space="preserve">(1)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Class,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failing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(SANO) 4</w:t>
      </w:r>
      <w:r w:rsidR="00054691">
        <w:t>,</w:t>
      </w:r>
      <w:r>
        <w:t xml:space="preserve">00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825A3">
        <w:t>scholarship</w:t>
      </w:r>
      <w:r>
        <w:t>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, rate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minimum </w:t>
      </w:r>
      <w:proofErr w:type="spellStart"/>
      <w:r>
        <w:t>score</w:t>
      </w:r>
      <w:proofErr w:type="spellEnd"/>
      <w:r>
        <w:t xml:space="preserve"> of 2</w:t>
      </w:r>
      <w:r w:rsidR="00054691">
        <w:t>,</w:t>
      </w:r>
      <w:r>
        <w:t xml:space="preserve">91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>.</w:t>
      </w:r>
    </w:p>
    <w:p w14:paraId="5F14004F" w14:textId="77777777" w:rsidR="0042229B" w:rsidRDefault="0042229B">
      <w:pPr>
        <w:pStyle w:val="GvdeMetni"/>
        <w:ind w:left="0"/>
      </w:pPr>
    </w:p>
    <w:p w14:paraId="1D5CC5E5" w14:textId="1307845D" w:rsidR="0042229B" w:rsidRDefault="00F72CF3">
      <w:pPr>
        <w:pStyle w:val="P68B1DB1-ListParagraph3"/>
        <w:numPr>
          <w:ilvl w:val="0"/>
          <w:numId w:val="4"/>
        </w:numPr>
        <w:tabs>
          <w:tab w:val="left" w:pos="1294"/>
        </w:tabs>
        <w:spacing w:line="259" w:lineRule="auto"/>
        <w:ind w:right="113" w:firstLine="76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Transfer </w:t>
      </w:r>
      <w:proofErr w:type="spellStart"/>
      <w:r>
        <w:t>and</w:t>
      </w:r>
      <w:proofErr w:type="spellEnd"/>
      <w:r>
        <w:t xml:space="preserve"> </w:t>
      </w:r>
      <w:proofErr w:type="spellStart"/>
      <w:r w:rsidR="00423702">
        <w:t>Vertical</w:t>
      </w:r>
      <w:proofErr w:type="spellEnd"/>
      <w:r>
        <w:t xml:space="preserve"> Transfer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F4AEE10" w14:textId="39849F4D" w:rsidR="0042229B" w:rsidRDefault="00F72CF3" w:rsidP="00603ECD">
      <w:pPr>
        <w:pStyle w:val="P68B1DB1-ListParagraph3"/>
        <w:numPr>
          <w:ilvl w:val="0"/>
          <w:numId w:val="4"/>
        </w:numPr>
        <w:tabs>
          <w:tab w:val="left" w:pos="1193"/>
        </w:tabs>
        <w:spacing w:before="161"/>
        <w:ind w:left="1192" w:hanging="372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(SANO)</w:t>
      </w:r>
      <w:r w:rsidR="00603ECD"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>.</w:t>
      </w:r>
    </w:p>
    <w:p w14:paraId="789BC815" w14:textId="77777777" w:rsidR="0042229B" w:rsidRDefault="0042229B">
      <w:pPr>
        <w:pStyle w:val="GvdeMetni"/>
        <w:ind w:left="0"/>
      </w:pPr>
    </w:p>
    <w:p w14:paraId="0B57B99B" w14:textId="28454477" w:rsidR="0042229B" w:rsidRDefault="00F72CF3">
      <w:pPr>
        <w:pStyle w:val="P68B1DB1-ListParagraph3"/>
        <w:numPr>
          <w:ilvl w:val="0"/>
          <w:numId w:val="4"/>
        </w:numPr>
        <w:tabs>
          <w:tab w:val="left" w:pos="1174"/>
        </w:tabs>
        <w:ind w:right="116" w:firstLine="708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digit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comma</w:t>
      </w:r>
      <w:proofErr w:type="spellEnd"/>
      <w:r>
        <w:t xml:space="preserve"> is </w:t>
      </w:r>
      <w:proofErr w:type="spellStart"/>
      <w:r w:rsidR="00603ECD">
        <w:t>considered</w:t>
      </w:r>
      <w:proofErr w:type="spellEnd"/>
      <w:r>
        <w:t>.</w:t>
      </w:r>
    </w:p>
    <w:p w14:paraId="3F78190B" w14:textId="77777777" w:rsidR="0042229B" w:rsidRDefault="0042229B">
      <w:pPr>
        <w:pStyle w:val="GvdeMetni"/>
        <w:spacing w:before="11"/>
        <w:ind w:left="0"/>
        <w:rPr>
          <w:sz w:val="23"/>
        </w:rPr>
      </w:pPr>
    </w:p>
    <w:p w14:paraId="7D659B80" w14:textId="77777777" w:rsidR="0042229B" w:rsidRDefault="00F72CF3">
      <w:pPr>
        <w:pStyle w:val="P68B1DB1-ListParagraph3"/>
        <w:numPr>
          <w:ilvl w:val="0"/>
          <w:numId w:val="4"/>
        </w:numPr>
        <w:tabs>
          <w:tab w:val="left" w:pos="1200"/>
        </w:tabs>
        <w:spacing w:line="259" w:lineRule="auto"/>
        <w:ind w:right="114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at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Exchange Program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ranking</w:t>
      </w:r>
      <w:proofErr w:type="spellEnd"/>
      <w:r>
        <w:t>.</w:t>
      </w:r>
    </w:p>
    <w:p w14:paraId="3E0B7BE8" w14:textId="544BA444" w:rsidR="0042229B" w:rsidRDefault="00603ECD">
      <w:pPr>
        <w:pStyle w:val="P68B1DB1-ListParagraph3"/>
        <w:numPr>
          <w:ilvl w:val="0"/>
          <w:numId w:val="4"/>
        </w:numPr>
        <w:tabs>
          <w:tab w:val="left" w:pos="1169"/>
        </w:tabs>
        <w:spacing w:before="160" w:line="259" w:lineRule="auto"/>
        <w:ind w:right="114" w:firstLine="720"/>
        <w:jc w:val="both"/>
      </w:pPr>
      <w:proofErr w:type="spellStart"/>
      <w:r>
        <w:t>F</w:t>
      </w:r>
      <w:r w:rsidR="00F72CF3">
        <w:t>or</w:t>
      </w:r>
      <w:proofErr w:type="spellEnd"/>
      <w:r w:rsidR="00F72CF3">
        <w:t xml:space="preserve"> </w:t>
      </w:r>
      <w:proofErr w:type="spellStart"/>
      <w:r w:rsidR="00F72CF3">
        <w:t>the</w:t>
      </w:r>
      <w:proofErr w:type="spellEnd"/>
      <w:r w:rsidR="00F72CF3">
        <w:t xml:space="preserve"> </w:t>
      </w:r>
      <w:proofErr w:type="spellStart"/>
      <w:r w:rsidR="00F72CF3">
        <w:t>student</w:t>
      </w:r>
      <w:proofErr w:type="spellEnd"/>
      <w:r w:rsidR="00F72CF3">
        <w:t xml:space="preserve"> </w:t>
      </w:r>
      <w:proofErr w:type="spellStart"/>
      <w:r w:rsidR="00F72CF3">
        <w:t>to</w:t>
      </w:r>
      <w:proofErr w:type="spellEnd"/>
      <w:r w:rsidR="00F72CF3">
        <w:t xml:space="preserve"> be </w:t>
      </w:r>
      <w:proofErr w:type="spellStart"/>
      <w:r w:rsidR="00F72CF3">
        <w:t>included</w:t>
      </w:r>
      <w:proofErr w:type="spellEnd"/>
      <w:r w:rsidR="00F72CF3">
        <w:t xml:space="preserve"> in </w:t>
      </w:r>
      <w:proofErr w:type="spellStart"/>
      <w:r w:rsidR="00F72CF3">
        <w:t>the</w:t>
      </w:r>
      <w:proofErr w:type="spellEnd"/>
      <w:r w:rsidR="00F72CF3">
        <w:t xml:space="preserve"> </w:t>
      </w:r>
      <w:proofErr w:type="spellStart"/>
      <w:r w:rsidR="00F72CF3">
        <w:t>success</w:t>
      </w:r>
      <w:proofErr w:type="spellEnd"/>
      <w:r w:rsidR="00F72CF3">
        <w:t xml:space="preserve"> </w:t>
      </w:r>
      <w:proofErr w:type="spellStart"/>
      <w:r w:rsidR="00F72CF3">
        <w:t>ranking</w:t>
      </w:r>
      <w:proofErr w:type="spellEnd"/>
      <w:r w:rsidR="00F72CF3">
        <w:t xml:space="preserve">, </w:t>
      </w:r>
      <w:proofErr w:type="spellStart"/>
      <w:r w:rsidR="00F72CF3">
        <w:t>if</w:t>
      </w:r>
      <w:proofErr w:type="spellEnd"/>
      <w:r w:rsidR="00F72CF3"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 w:rsidR="00F72CF3">
        <w:t xml:space="preserve"> </w:t>
      </w:r>
      <w:proofErr w:type="spellStart"/>
      <w:r w:rsidR="00F72CF3">
        <w:t>transferred</w:t>
      </w:r>
      <w:proofErr w:type="spellEnd"/>
      <w:r w:rsidR="00F72CF3">
        <w:t xml:space="preserve"> </w:t>
      </w:r>
      <w:proofErr w:type="spellStart"/>
      <w:r w:rsidR="00F72CF3">
        <w:t>that</w:t>
      </w:r>
      <w:proofErr w:type="spellEnd"/>
      <w:r w:rsidR="00F72CF3">
        <w:t xml:space="preserve"> </w:t>
      </w:r>
      <w:proofErr w:type="spellStart"/>
      <w:r w:rsidR="00F72CF3">
        <w:t>year</w:t>
      </w:r>
      <w:proofErr w:type="spellEnd"/>
      <w:r w:rsidR="00F72CF3">
        <w:t xml:space="preserve">, </w:t>
      </w:r>
      <w:proofErr w:type="spellStart"/>
      <w:r w:rsidR="00F72CF3">
        <w:t>these</w:t>
      </w:r>
      <w:proofErr w:type="spellEnd"/>
      <w:r w:rsidR="00F72CF3">
        <w:t xml:space="preserve"> </w:t>
      </w:r>
      <w:proofErr w:type="spellStart"/>
      <w:r w:rsidR="00F72CF3">
        <w:t>courses</w:t>
      </w:r>
      <w:proofErr w:type="spellEnd"/>
      <w:r w:rsidR="00F72CF3">
        <w:t xml:space="preserve"> </w:t>
      </w:r>
      <w:proofErr w:type="spellStart"/>
      <w:r w:rsidR="00F72CF3">
        <w:t>must</w:t>
      </w:r>
      <w:proofErr w:type="spellEnd"/>
      <w:r w:rsidR="00F72CF3">
        <w:t xml:space="preserve"> </w:t>
      </w:r>
      <w:proofErr w:type="spellStart"/>
      <w:r w:rsidR="00F72CF3">
        <w:t>take</w:t>
      </w:r>
      <w:proofErr w:type="spellEnd"/>
      <w:r w:rsidR="00F72CF3">
        <w:t xml:space="preserve"> </w:t>
      </w:r>
      <w:proofErr w:type="spellStart"/>
      <w:r w:rsidR="00F72CF3">
        <w:t>additional</w:t>
      </w:r>
      <w:proofErr w:type="spellEnd"/>
      <w:r w:rsidR="00F72CF3">
        <w:t xml:space="preserve"> </w:t>
      </w:r>
      <w:proofErr w:type="spellStart"/>
      <w:r w:rsidR="00F72CF3">
        <w:t>courses</w:t>
      </w:r>
      <w:proofErr w:type="spellEnd"/>
      <w:r w:rsidR="00F72CF3">
        <w:t xml:space="preserve"> </w:t>
      </w:r>
      <w:proofErr w:type="spellStart"/>
      <w:r w:rsidR="00F72CF3">
        <w:t>to</w:t>
      </w:r>
      <w:proofErr w:type="spellEnd"/>
      <w:r w:rsidR="00F72CF3">
        <w:t xml:space="preserve"> </w:t>
      </w:r>
      <w:proofErr w:type="spellStart"/>
      <w:r w:rsidR="00F72CF3">
        <w:t>meet</w:t>
      </w:r>
      <w:proofErr w:type="spellEnd"/>
      <w:r w:rsidR="00F72CF3">
        <w:t xml:space="preserve"> </w:t>
      </w:r>
      <w:proofErr w:type="spellStart"/>
      <w:r w:rsidR="00F72CF3">
        <w:t>the</w:t>
      </w:r>
      <w:proofErr w:type="spellEnd"/>
      <w:r w:rsidR="00F72CF3">
        <w:t xml:space="preserve"> ECTS </w:t>
      </w:r>
      <w:proofErr w:type="spellStart"/>
      <w:r w:rsidR="00F72CF3">
        <w:t>credits</w:t>
      </w:r>
      <w:proofErr w:type="spellEnd"/>
      <w:r w:rsidR="00F72CF3">
        <w:t>.</w:t>
      </w:r>
    </w:p>
    <w:p w14:paraId="599D373D" w14:textId="432338C5" w:rsidR="0042229B" w:rsidRDefault="00F72CF3">
      <w:pPr>
        <w:pStyle w:val="P68B1DB1-ListParagraph3"/>
        <w:numPr>
          <w:ilvl w:val="0"/>
          <w:numId w:val="4"/>
        </w:numPr>
        <w:tabs>
          <w:tab w:val="left" w:pos="1167"/>
        </w:tabs>
        <w:spacing w:before="160"/>
        <w:ind w:right="110" w:firstLine="708"/>
        <w:jc w:val="both"/>
      </w:pPr>
      <w:proofErr w:type="spellStart"/>
      <w:r>
        <w:t>I</w:t>
      </w:r>
      <w:r w:rsidR="00603ECD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re-</w:t>
      </w:r>
      <w:proofErr w:type="spellStart"/>
      <w:r>
        <w:t>register</w:t>
      </w:r>
      <w:proofErr w:type="spellEnd"/>
      <w:r>
        <w:t xml:space="preserve">, </w:t>
      </w:r>
      <w:proofErr w:type="spellStart"/>
      <w:r>
        <w:t>cancels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, </w:t>
      </w:r>
      <w:proofErr w:type="spellStart"/>
      <w:r>
        <w:t>makes</w:t>
      </w:r>
      <w:proofErr w:type="spellEnd"/>
      <w:r>
        <w:t xml:space="preserve"> a</w:t>
      </w:r>
      <w:r w:rsidR="00603ECD">
        <w:t>n</w:t>
      </w:r>
      <w:r>
        <w:t xml:space="preserve"> </w:t>
      </w:r>
      <w:proofErr w:type="spellStart"/>
      <w:r>
        <w:t>internal</w:t>
      </w:r>
      <w:proofErr w:type="spellEnd"/>
      <w:r>
        <w:t xml:space="preserve"> transfer </w:t>
      </w:r>
      <w:proofErr w:type="spellStart"/>
      <w:r>
        <w:t>or</w:t>
      </w:r>
      <w:proofErr w:type="spellEnd"/>
      <w:r>
        <w:t xml:space="preserve"> is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7F5D15B1" w14:textId="77777777" w:rsidR="0042229B" w:rsidRDefault="0042229B">
      <w:pPr>
        <w:pStyle w:val="GvdeMetni"/>
        <w:spacing w:before="11"/>
        <w:ind w:left="0"/>
        <w:rPr>
          <w:sz w:val="23"/>
        </w:rPr>
      </w:pPr>
    </w:p>
    <w:p w14:paraId="31163524" w14:textId="3945B29C" w:rsidR="0042229B" w:rsidRDefault="00F72CF3">
      <w:pPr>
        <w:pStyle w:val="P68B1DB1-ListParagraph3"/>
        <w:numPr>
          <w:ilvl w:val="0"/>
          <w:numId w:val="4"/>
        </w:numPr>
        <w:tabs>
          <w:tab w:val="left" w:pos="1152"/>
        </w:tabs>
        <w:ind w:right="115" w:firstLine="708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School </w:t>
      </w:r>
      <w:proofErr w:type="spellStart"/>
      <w:r>
        <w:t>committees</w:t>
      </w:r>
      <w:proofErr w:type="spellEnd"/>
      <w:r>
        <w:t xml:space="preserve"> re-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not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>.</w:t>
      </w:r>
    </w:p>
    <w:p w14:paraId="3C017A13" w14:textId="77777777" w:rsidR="0042229B" w:rsidRDefault="0042229B">
      <w:pPr>
        <w:pStyle w:val="GvdeMetni"/>
        <w:spacing w:before="11"/>
        <w:ind w:left="0"/>
        <w:rPr>
          <w:sz w:val="23"/>
        </w:rPr>
      </w:pPr>
    </w:p>
    <w:p w14:paraId="1FB4F622" w14:textId="77777777" w:rsidR="0042229B" w:rsidRDefault="00F72CF3">
      <w:pPr>
        <w:pStyle w:val="P68B1DB1-ListParagraph4"/>
        <w:numPr>
          <w:ilvl w:val="0"/>
          <w:numId w:val="4"/>
        </w:numPr>
        <w:tabs>
          <w:tab w:val="left" w:pos="1220"/>
        </w:tabs>
        <w:ind w:left="1219" w:hanging="339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Merit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7C5337E9" w14:textId="77777777" w:rsidR="0042229B" w:rsidRDefault="0042229B">
      <w:pPr>
        <w:pStyle w:val="GvdeMetni"/>
        <w:ind w:left="0"/>
        <w:rPr>
          <w:sz w:val="26"/>
        </w:rPr>
      </w:pPr>
    </w:p>
    <w:p w14:paraId="1F94E360" w14:textId="77777777" w:rsidR="0042229B" w:rsidRDefault="0042229B" w:rsidP="0060234E">
      <w:pPr>
        <w:pStyle w:val="GvdeMetni"/>
        <w:spacing w:before="3"/>
        <w:ind w:left="0"/>
        <w:jc w:val="center"/>
        <w:rPr>
          <w:sz w:val="29"/>
        </w:rPr>
      </w:pPr>
    </w:p>
    <w:p w14:paraId="2DE3ABEC" w14:textId="77777777" w:rsidR="0042229B" w:rsidRDefault="00F72CF3" w:rsidP="0060234E">
      <w:pPr>
        <w:pStyle w:val="Balk1"/>
        <w:jc w:val="center"/>
      </w:pPr>
      <w:r>
        <w:t xml:space="preserve">ÖSYM </w:t>
      </w:r>
      <w:proofErr w:type="spellStart"/>
      <w:r>
        <w:t>Scholarships</w:t>
      </w:r>
      <w:proofErr w:type="spellEnd"/>
    </w:p>
    <w:p w14:paraId="1247529B" w14:textId="37002219" w:rsidR="00F72CF3" w:rsidRDefault="00F72CF3" w:rsidP="00F72CF3">
      <w:pPr>
        <w:pStyle w:val="GvdeMetni"/>
        <w:spacing w:before="182"/>
        <w:ind w:right="112" w:firstLine="708"/>
        <w:jc w:val="both"/>
      </w:pPr>
      <w:r w:rsidRPr="00F72CF3">
        <w:rPr>
          <w:b/>
          <w:bCs/>
        </w:rPr>
        <w:t>A</w:t>
      </w:r>
      <w:r w:rsidR="00054691">
        <w:rPr>
          <w:b/>
          <w:bCs/>
        </w:rPr>
        <w:t>RTICLE</w:t>
      </w:r>
      <w:r w:rsidRPr="00F72CF3">
        <w:rPr>
          <w:b/>
          <w:bCs/>
        </w:rPr>
        <w:t xml:space="preserve"> </w:t>
      </w:r>
      <w:r>
        <w:rPr>
          <w:b/>
        </w:rPr>
        <w:t xml:space="preserve">9 – </w:t>
      </w:r>
      <w:r>
        <w:t xml:space="preserve">(1) </w:t>
      </w:r>
      <w:proofErr w:type="spellStart"/>
      <w:r w:rsidRPr="00F72CF3">
        <w:t>Scholarships</w:t>
      </w:r>
      <w:proofErr w:type="spellEnd"/>
      <w:r w:rsidRPr="00F72CF3">
        <w:t xml:space="preserve"> </w:t>
      </w:r>
      <w:proofErr w:type="spellStart"/>
      <w:r w:rsidRPr="00F72CF3">
        <w:t>and</w:t>
      </w:r>
      <w:proofErr w:type="spellEnd"/>
      <w:r w:rsidRPr="00F72CF3">
        <w:t xml:space="preserve"> </w:t>
      </w:r>
      <w:proofErr w:type="spellStart"/>
      <w:r w:rsidR="006825A3">
        <w:t>scholarship</w:t>
      </w:r>
      <w:r w:rsidRPr="00F72CF3">
        <w:t>s</w:t>
      </w:r>
      <w:proofErr w:type="spellEnd"/>
      <w:r w:rsidRPr="00F72CF3">
        <w:t xml:space="preserve"> </w:t>
      </w:r>
      <w:proofErr w:type="spellStart"/>
      <w:r w:rsidRPr="00F72CF3">
        <w:t>covering</w:t>
      </w:r>
      <w:proofErr w:type="spellEnd"/>
      <w:r w:rsidRPr="00F72CF3">
        <w:t xml:space="preserve"> </w:t>
      </w:r>
      <w:proofErr w:type="spellStart"/>
      <w:r w:rsidRPr="00F72CF3">
        <w:t>all</w:t>
      </w:r>
      <w:proofErr w:type="spellEnd"/>
      <w:r w:rsidRPr="00F72CF3">
        <w:t xml:space="preserve"> </w:t>
      </w:r>
      <w:proofErr w:type="spellStart"/>
      <w:r w:rsidRPr="00F72CF3">
        <w:t>or</w:t>
      </w:r>
      <w:proofErr w:type="spellEnd"/>
      <w:r w:rsidRPr="00F72CF3">
        <w:t xml:space="preserve"> a </w:t>
      </w:r>
      <w:proofErr w:type="spellStart"/>
      <w:r w:rsidRPr="00F72CF3">
        <w:t>part</w:t>
      </w:r>
      <w:proofErr w:type="spellEnd"/>
      <w:r w:rsidRPr="00F72CF3">
        <w:t xml:space="preserve"> of </w:t>
      </w:r>
      <w:proofErr w:type="spellStart"/>
      <w:r w:rsidRPr="00F72CF3">
        <w:t>the</w:t>
      </w:r>
      <w:proofErr w:type="spellEnd"/>
      <w:r w:rsidRPr="00F72CF3">
        <w:t xml:space="preserve"> </w:t>
      </w:r>
      <w:proofErr w:type="spellStart"/>
      <w:r w:rsidRPr="00F72CF3">
        <w:t>tuition</w:t>
      </w:r>
      <w:proofErr w:type="spellEnd"/>
      <w:r w:rsidRPr="00F72CF3">
        <w:t xml:space="preserve"> </w:t>
      </w:r>
      <w:proofErr w:type="spellStart"/>
      <w:r w:rsidRPr="00F72CF3">
        <w:t>fee</w:t>
      </w:r>
      <w:proofErr w:type="spellEnd"/>
      <w:r w:rsidRPr="00F72CF3">
        <w:t xml:space="preserve">, </w:t>
      </w:r>
      <w:proofErr w:type="spellStart"/>
      <w:r w:rsidRPr="00F72CF3">
        <w:t>given</w:t>
      </w:r>
      <w:proofErr w:type="spellEnd"/>
      <w:r w:rsidRPr="00F72CF3">
        <w:t xml:space="preserve"> </w:t>
      </w:r>
      <w:proofErr w:type="spellStart"/>
      <w:r w:rsidRPr="00F72CF3">
        <w:t>to</w:t>
      </w:r>
      <w:proofErr w:type="spellEnd"/>
      <w:r w:rsidRPr="00F72CF3">
        <w:t xml:space="preserve"> </w:t>
      </w:r>
      <w:proofErr w:type="spellStart"/>
      <w:r w:rsidRPr="00F72CF3">
        <w:t>students</w:t>
      </w:r>
      <w:proofErr w:type="spellEnd"/>
      <w:r w:rsidRPr="00F72CF3">
        <w:t xml:space="preserve"> </w:t>
      </w:r>
      <w:proofErr w:type="spellStart"/>
      <w:r w:rsidRPr="00F72CF3">
        <w:t>placed</w:t>
      </w:r>
      <w:proofErr w:type="spellEnd"/>
      <w:r w:rsidRPr="00F72CF3">
        <w:t xml:space="preserve"> </w:t>
      </w:r>
      <w:proofErr w:type="spellStart"/>
      <w:r w:rsidRPr="00F72CF3">
        <w:t>by</w:t>
      </w:r>
      <w:proofErr w:type="spellEnd"/>
      <w:r w:rsidRPr="00F72CF3">
        <w:t xml:space="preserve"> </w:t>
      </w:r>
      <w:proofErr w:type="spellStart"/>
      <w:r w:rsidRPr="00F72CF3">
        <w:t>the</w:t>
      </w:r>
      <w:proofErr w:type="spellEnd"/>
      <w:r w:rsidRPr="00F72CF3">
        <w:t xml:space="preserve"> </w:t>
      </w:r>
      <w:proofErr w:type="spellStart"/>
      <w:r w:rsidRPr="00F72CF3">
        <w:t>Assessment</w:t>
      </w:r>
      <w:proofErr w:type="spellEnd"/>
      <w:r w:rsidRPr="00F72CF3">
        <w:t xml:space="preserve">, </w:t>
      </w:r>
      <w:proofErr w:type="spellStart"/>
      <w:r w:rsidRPr="00F72CF3">
        <w:t>Selection</w:t>
      </w:r>
      <w:proofErr w:type="spellEnd"/>
      <w:r w:rsidRPr="00F72CF3">
        <w:t xml:space="preserve"> </w:t>
      </w:r>
      <w:proofErr w:type="spellStart"/>
      <w:r w:rsidRPr="00F72CF3">
        <w:t>and</w:t>
      </w:r>
      <w:proofErr w:type="spellEnd"/>
      <w:r w:rsidRPr="00F72CF3">
        <w:t xml:space="preserve"> </w:t>
      </w:r>
      <w:proofErr w:type="spellStart"/>
      <w:r w:rsidRPr="00F72CF3">
        <w:t>Placement</w:t>
      </w:r>
      <w:proofErr w:type="spellEnd"/>
      <w:r w:rsidRPr="00F72CF3">
        <w:t xml:space="preserve"> Center </w:t>
      </w:r>
      <w:proofErr w:type="spellStart"/>
      <w:r w:rsidRPr="00F72CF3">
        <w:t>Presidency</w:t>
      </w:r>
      <w:proofErr w:type="spellEnd"/>
      <w:r w:rsidRPr="00F72CF3">
        <w:t xml:space="preserve"> in </w:t>
      </w:r>
      <w:proofErr w:type="spellStart"/>
      <w:r w:rsidRPr="00F72CF3">
        <w:t>the</w:t>
      </w:r>
      <w:proofErr w:type="spellEnd"/>
      <w:r w:rsidRPr="00F72CF3">
        <w:t xml:space="preserve"> </w:t>
      </w:r>
      <w:proofErr w:type="spellStart"/>
      <w:r w:rsidRPr="00F72CF3">
        <w:t>scholarship</w:t>
      </w:r>
      <w:proofErr w:type="spellEnd"/>
      <w:r w:rsidRPr="00F72CF3">
        <w:t xml:space="preserve"> </w:t>
      </w:r>
      <w:proofErr w:type="spellStart"/>
      <w:r w:rsidRPr="00F72CF3">
        <w:t>or</w:t>
      </w:r>
      <w:proofErr w:type="spellEnd"/>
      <w:r w:rsidRPr="00F72CF3">
        <w:t xml:space="preserve"> </w:t>
      </w:r>
      <w:proofErr w:type="spellStart"/>
      <w:r w:rsidR="006825A3">
        <w:t>scholarship</w:t>
      </w:r>
      <w:r w:rsidRPr="00F72CF3">
        <w:t>ed</w:t>
      </w:r>
      <w:proofErr w:type="spellEnd"/>
      <w:r w:rsidRPr="00F72CF3">
        <w:t xml:space="preserve"> </w:t>
      </w:r>
      <w:proofErr w:type="spellStart"/>
      <w:r w:rsidRPr="00F72CF3">
        <w:t>quotas</w:t>
      </w:r>
      <w:proofErr w:type="spellEnd"/>
      <w:r w:rsidRPr="00F72CF3">
        <w:t xml:space="preserve"> </w:t>
      </w:r>
      <w:proofErr w:type="spellStart"/>
      <w:r w:rsidRPr="00F72CF3">
        <w:t>specified</w:t>
      </w:r>
      <w:proofErr w:type="spellEnd"/>
      <w:r w:rsidRPr="00F72CF3">
        <w:t xml:space="preserve"> in </w:t>
      </w:r>
      <w:proofErr w:type="spellStart"/>
      <w:r w:rsidRPr="00F72CF3">
        <w:t>the</w:t>
      </w:r>
      <w:proofErr w:type="spellEnd"/>
      <w:r w:rsidRPr="00F72CF3">
        <w:t xml:space="preserve"> </w:t>
      </w:r>
      <w:proofErr w:type="spellStart"/>
      <w:r w:rsidRPr="00F72CF3">
        <w:t>Higher</w:t>
      </w:r>
      <w:proofErr w:type="spellEnd"/>
      <w:r w:rsidRPr="00F72CF3">
        <w:t xml:space="preserve"> </w:t>
      </w:r>
      <w:proofErr w:type="spellStart"/>
      <w:r w:rsidRPr="00F72CF3">
        <w:t>Education</w:t>
      </w:r>
      <w:proofErr w:type="spellEnd"/>
      <w:r w:rsidRPr="00F72CF3">
        <w:t xml:space="preserve"> Programs </w:t>
      </w:r>
      <w:proofErr w:type="spellStart"/>
      <w:r w:rsidRPr="00F72CF3">
        <w:t>and</w:t>
      </w:r>
      <w:proofErr w:type="spellEnd"/>
      <w:r w:rsidRPr="00F72CF3">
        <w:t xml:space="preserve"> </w:t>
      </w:r>
      <w:proofErr w:type="spellStart"/>
      <w:r w:rsidRPr="00F72CF3">
        <w:t>Quotas</w:t>
      </w:r>
      <w:proofErr w:type="spellEnd"/>
      <w:r w:rsidRPr="00F72CF3">
        <w:t xml:space="preserve"> </w:t>
      </w:r>
      <w:proofErr w:type="spellStart"/>
      <w:r w:rsidRPr="00F72CF3">
        <w:t>Guide</w:t>
      </w:r>
      <w:r>
        <w:t>r</w:t>
      </w:r>
      <w:proofErr w:type="spellEnd"/>
      <w:r>
        <w:t>.</w:t>
      </w:r>
    </w:p>
    <w:p w14:paraId="5538BDED" w14:textId="63BBBEA2" w:rsidR="0042229B" w:rsidRDefault="00F72CF3" w:rsidP="00F72CF3">
      <w:pPr>
        <w:pStyle w:val="GvdeMetni"/>
        <w:spacing w:before="182"/>
        <w:ind w:right="112" w:firstLine="708"/>
        <w:jc w:val="both"/>
      </w:pP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825A3">
        <w:t>scholarship</w:t>
      </w:r>
      <w:r>
        <w:t>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studying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. </w:t>
      </w:r>
      <w:proofErr w:type="spellStart"/>
      <w:r>
        <w:t>Housing</w:t>
      </w:r>
      <w:proofErr w:type="spellEnd"/>
      <w:r>
        <w:t xml:space="preserve">, </w:t>
      </w:r>
      <w:proofErr w:type="spellStart"/>
      <w:r>
        <w:t>nutrition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  <w:r w:rsidR="00AB38C0">
        <w:t>;</w:t>
      </w:r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825A3">
        <w:t>scholarship</w:t>
      </w:r>
      <w:r>
        <w:t>s</w:t>
      </w:r>
      <w:proofErr w:type="spellEnd"/>
      <w:r>
        <w:t>.</w:t>
      </w:r>
    </w:p>
    <w:p w14:paraId="7CDB2115" w14:textId="77777777" w:rsidR="0042229B" w:rsidRDefault="0042229B">
      <w:pPr>
        <w:pStyle w:val="GvdeMetni"/>
        <w:spacing w:before="11"/>
        <w:ind w:left="0"/>
        <w:rPr>
          <w:sz w:val="23"/>
        </w:rPr>
      </w:pPr>
    </w:p>
    <w:p w14:paraId="7D9129B9" w14:textId="26BE9E37" w:rsidR="0042229B" w:rsidRDefault="00F72CF3">
      <w:pPr>
        <w:pStyle w:val="P68B1DB1-ListParagraph3"/>
        <w:numPr>
          <w:ilvl w:val="0"/>
          <w:numId w:val="3"/>
        </w:numPr>
        <w:tabs>
          <w:tab w:val="left" w:pos="1188"/>
        </w:tabs>
        <w:spacing w:line="261" w:lineRule="auto"/>
        <w:ind w:right="115" w:firstLine="708"/>
        <w:jc w:val="both"/>
      </w:pPr>
      <w:r>
        <w:t xml:space="preserve">ÖSYM </w:t>
      </w: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825A3">
        <w:t>scholarship</w:t>
      </w:r>
      <w:r>
        <w:t>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unrequited</w:t>
      </w:r>
      <w:proofErr w:type="spellEnd"/>
      <w:r>
        <w:t xml:space="preserve"> but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punishment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transfer.</w:t>
      </w:r>
    </w:p>
    <w:p w14:paraId="44FA8B3A" w14:textId="77777777" w:rsidR="0042229B" w:rsidRDefault="0042229B">
      <w:pPr>
        <w:spacing w:line="261" w:lineRule="auto"/>
        <w:jc w:val="both"/>
        <w:rPr>
          <w:sz w:val="24"/>
        </w:rPr>
        <w:sectPr w:rsidR="0042229B">
          <w:pgSz w:w="11910" w:h="16840"/>
          <w:pgMar w:top="1320" w:right="1020" w:bottom="280" w:left="1020" w:header="708" w:footer="708" w:gutter="0"/>
          <w:cols w:space="708"/>
        </w:sectPr>
      </w:pPr>
    </w:p>
    <w:p w14:paraId="5ABC14FF" w14:textId="77777777" w:rsidR="0042229B" w:rsidRDefault="00F72CF3" w:rsidP="0060234E">
      <w:pPr>
        <w:pStyle w:val="Balk1"/>
        <w:spacing w:before="72"/>
        <w:jc w:val="center"/>
      </w:pPr>
      <w:proofErr w:type="spellStart"/>
      <w:r>
        <w:lastRenderedPageBreak/>
        <w:t>Athlete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Support</w:t>
      </w:r>
      <w:proofErr w:type="spellEnd"/>
    </w:p>
    <w:p w14:paraId="7C7E6E2C" w14:textId="1961864C" w:rsidR="0042229B" w:rsidRDefault="00F72CF3">
      <w:pPr>
        <w:pStyle w:val="GvdeMetni"/>
        <w:spacing w:before="182"/>
        <w:ind w:right="113" w:firstLine="708"/>
        <w:jc w:val="both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10 – </w:t>
      </w:r>
      <w:r>
        <w:t xml:space="preserve">(1)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rate,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sports</w:t>
      </w:r>
      <w:proofErr w:type="spellEnd"/>
      <w:r>
        <w:t xml:space="preserve">,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in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sports</w:t>
      </w:r>
      <w:proofErr w:type="spellEnd"/>
      <w:r>
        <w:t>.</w:t>
      </w:r>
    </w:p>
    <w:p w14:paraId="195591A3" w14:textId="77777777" w:rsidR="0042229B" w:rsidRDefault="0042229B">
      <w:pPr>
        <w:pStyle w:val="GvdeMetni"/>
        <w:spacing w:before="11"/>
        <w:ind w:left="0"/>
        <w:rPr>
          <w:sz w:val="23"/>
        </w:rPr>
      </w:pPr>
    </w:p>
    <w:p w14:paraId="02C0D33D" w14:textId="61B87141" w:rsidR="0042229B" w:rsidRDefault="00F72CF3">
      <w:pPr>
        <w:pStyle w:val="P68B1DB1-ListParagraph3"/>
        <w:numPr>
          <w:ilvl w:val="0"/>
          <w:numId w:val="2"/>
        </w:numPr>
        <w:tabs>
          <w:tab w:val="left" w:pos="1145"/>
        </w:tabs>
        <w:spacing w:line="256" w:lineRule="auto"/>
        <w:ind w:right="109" w:firstLine="708"/>
        <w:jc w:val="both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Athlete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federations</w:t>
      </w:r>
      <w:proofErr w:type="spellEnd"/>
      <w:r>
        <w:t xml:space="preserve">,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(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matches</w:t>
      </w:r>
      <w:proofErr w:type="spellEnd"/>
      <w:r>
        <w:t xml:space="preserve">, </w:t>
      </w:r>
      <w:proofErr w:type="spellStart"/>
      <w:r>
        <w:t>travels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additional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accrued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 w:rsidR="00603ECD"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A748767" w14:textId="0CB66647" w:rsidR="0042229B" w:rsidRDefault="00F72CF3">
      <w:pPr>
        <w:pStyle w:val="GvdeMetni"/>
        <w:spacing w:before="22" w:line="454" w:lineRule="exact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Final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</w:p>
    <w:p w14:paraId="237B55C3" w14:textId="77777777" w:rsidR="0042229B" w:rsidRDefault="00F72CF3">
      <w:pPr>
        <w:pStyle w:val="GvdeMetni"/>
        <w:spacing w:line="256" w:lineRule="exact"/>
      </w:pPr>
      <w:proofErr w:type="spellStart"/>
      <w:proofErr w:type="gramStart"/>
      <w:r>
        <w:t>starting</w:t>
      </w:r>
      <w:proofErr w:type="spellEnd"/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4D95CE10" w14:textId="24E23DA1" w:rsidR="0042229B" w:rsidRDefault="00F72CF3">
      <w:pPr>
        <w:pStyle w:val="P68B1DB1-ListParagraph3"/>
        <w:numPr>
          <w:ilvl w:val="0"/>
          <w:numId w:val="2"/>
        </w:numPr>
        <w:tabs>
          <w:tab w:val="left" w:pos="1126"/>
        </w:tabs>
        <w:spacing w:before="178" w:line="256" w:lineRule="auto"/>
        <w:ind w:right="111" w:firstLine="708"/>
        <w:jc w:val="both"/>
      </w:pPr>
      <w:r>
        <w:t xml:space="preserve">Team </w:t>
      </w:r>
      <w:proofErr w:type="spellStart"/>
      <w:r>
        <w:t>Athlete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,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team-related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, </w:t>
      </w:r>
      <w:proofErr w:type="spellStart"/>
      <w:r>
        <w:t>away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and</w:t>
      </w:r>
      <w:proofErr w:type="spellEnd"/>
      <w:r>
        <w:t xml:space="preserve"> do not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penalty</w:t>
      </w:r>
      <w:proofErr w:type="spellEnd"/>
      <w:r>
        <w:t xml:space="preserve">,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accrued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rate is </w:t>
      </w:r>
      <w:proofErr w:type="spellStart"/>
      <w:r>
        <w:t>also</w:t>
      </w:r>
      <w:proofErr w:type="spellEnd"/>
      <w:r>
        <w:t xml:space="preserve"> </w:t>
      </w:r>
      <w:proofErr w:type="spellStart"/>
      <w:r w:rsidR="006825A3">
        <w:t>scholarship</w:t>
      </w:r>
      <w:r>
        <w:t>ed</w:t>
      </w:r>
      <w:proofErr w:type="spellEnd"/>
      <w:r>
        <w:t>.</w:t>
      </w:r>
    </w:p>
    <w:p w14:paraId="070F2CCF" w14:textId="285615DC" w:rsidR="0042229B" w:rsidRDefault="00F72CF3">
      <w:pPr>
        <w:pStyle w:val="GvdeMetni"/>
        <w:spacing w:before="18" w:line="456" w:lineRule="exact"/>
        <w:ind w:firstLine="6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determined</w:t>
      </w:r>
      <w:proofErr w:type="spellEnd"/>
    </w:p>
    <w:p w14:paraId="6C36B160" w14:textId="77777777" w:rsidR="0042229B" w:rsidRDefault="00F72CF3">
      <w:pPr>
        <w:pStyle w:val="GvdeMetni"/>
        <w:spacing w:line="254" w:lineRule="exact"/>
      </w:pPr>
      <w:proofErr w:type="spellStart"/>
      <w:proofErr w:type="gramStart"/>
      <w:r>
        <w:t>starting</w:t>
      </w:r>
      <w:proofErr w:type="spellEnd"/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093FA837" w14:textId="720EC91D" w:rsidR="0042229B" w:rsidRDefault="00F72CF3">
      <w:pPr>
        <w:pStyle w:val="GvdeMetni"/>
        <w:spacing w:before="178"/>
      </w:pPr>
      <w:proofErr w:type="spellStart"/>
      <w:r>
        <w:t>Athletes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can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athlete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once</w:t>
      </w:r>
      <w:proofErr w:type="spellEnd"/>
      <w:r>
        <w:t>.</w:t>
      </w:r>
    </w:p>
    <w:p w14:paraId="6A24EEAA" w14:textId="77777777" w:rsidR="0042229B" w:rsidRDefault="0042229B">
      <w:pPr>
        <w:pStyle w:val="GvdeMetni"/>
        <w:ind w:left="0"/>
        <w:rPr>
          <w:sz w:val="21"/>
        </w:rPr>
      </w:pPr>
    </w:p>
    <w:p w14:paraId="25E4E1CD" w14:textId="783CFC19" w:rsidR="0042229B" w:rsidRDefault="00F72CF3">
      <w:pPr>
        <w:pStyle w:val="P68B1DB1-ListParagraph3"/>
        <w:numPr>
          <w:ilvl w:val="0"/>
          <w:numId w:val="2"/>
        </w:numPr>
        <w:tabs>
          <w:tab w:val="left" w:pos="1088"/>
        </w:tabs>
        <w:spacing w:before="1" w:line="256" w:lineRule="auto"/>
        <w:ind w:right="110" w:firstLine="708"/>
        <w:jc w:val="both"/>
      </w:pPr>
      <w:proofErr w:type="spellStart"/>
      <w:r>
        <w:t>Individual</w:t>
      </w:r>
      <w:proofErr w:type="spellEnd"/>
      <w:r>
        <w:t xml:space="preserve"> </w:t>
      </w:r>
      <w:proofErr w:type="spellStart"/>
      <w:r>
        <w:t>Athlete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: </w:t>
      </w:r>
      <w:proofErr w:type="spellStart"/>
      <w:r w:rsidR="00603ECD">
        <w:t>T</w:t>
      </w:r>
      <w:r>
        <w:t>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ranked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determined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>.</w:t>
      </w:r>
    </w:p>
    <w:p w14:paraId="58B73A7B" w14:textId="56A03913" w:rsidR="0042229B" w:rsidRDefault="00F72CF3">
      <w:pPr>
        <w:pStyle w:val="GvdeMetni"/>
        <w:spacing w:before="161" w:line="254" w:lineRule="auto"/>
        <w:ind w:right="115" w:firstLine="708"/>
        <w:jc w:val="both"/>
      </w:pPr>
      <w:r>
        <w:t xml:space="preserve">(2) Team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Athlete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Sports </w:t>
      </w:r>
      <w:proofErr w:type="spellStart"/>
      <w:r>
        <w:t>Department</w:t>
      </w:r>
      <w:proofErr w:type="spellEnd"/>
      <w:r w:rsidR="00603ECD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>.</w:t>
      </w:r>
    </w:p>
    <w:p w14:paraId="084B65B1" w14:textId="77777777" w:rsidR="0042229B" w:rsidRDefault="0042229B">
      <w:pPr>
        <w:pStyle w:val="GvdeMetni"/>
        <w:ind w:left="0"/>
        <w:rPr>
          <w:sz w:val="26"/>
        </w:rPr>
      </w:pPr>
    </w:p>
    <w:p w14:paraId="4F88E515" w14:textId="77777777" w:rsidR="0042229B" w:rsidRDefault="00F72CF3" w:rsidP="0060234E">
      <w:pPr>
        <w:pStyle w:val="Balk1"/>
        <w:spacing w:before="162"/>
        <w:jc w:val="center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Athlete</w:t>
      </w:r>
      <w:proofErr w:type="spellEnd"/>
      <w:r>
        <w:t xml:space="preserve"> </w:t>
      </w:r>
      <w:proofErr w:type="spellStart"/>
      <w:r>
        <w:t>Scholarship</w:t>
      </w:r>
      <w:proofErr w:type="spellEnd"/>
    </w:p>
    <w:p w14:paraId="51C92FCB" w14:textId="72ADBBB2" w:rsidR="0042229B" w:rsidRDefault="00F72CF3">
      <w:pPr>
        <w:pStyle w:val="GvdeMetni"/>
        <w:spacing w:before="182" w:line="259" w:lineRule="auto"/>
        <w:ind w:right="114" w:firstLine="708"/>
        <w:jc w:val="both"/>
      </w:pPr>
      <w:r>
        <w:rPr>
          <w:b/>
        </w:rPr>
        <w:t>A</w:t>
      </w:r>
      <w:r w:rsidR="00054691">
        <w:rPr>
          <w:b/>
        </w:rPr>
        <w:t xml:space="preserve">RTICLE </w:t>
      </w:r>
      <w:r>
        <w:rPr>
          <w:b/>
        </w:rPr>
        <w:t xml:space="preserve">11 –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Sports, it is a 100%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4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2020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2E3B5E6E" w14:textId="7E5D1160" w:rsidR="0042229B" w:rsidRDefault="00F72CF3">
      <w:pPr>
        <w:pStyle w:val="P68B1DB1-ListParagraph3"/>
        <w:numPr>
          <w:ilvl w:val="0"/>
          <w:numId w:val="1"/>
        </w:numPr>
        <w:tabs>
          <w:tab w:val="left" w:pos="1061"/>
        </w:tabs>
        <w:spacing w:before="161" w:line="259" w:lineRule="auto"/>
        <w:ind w:right="112" w:firstLine="708"/>
        <w:jc w:val="both"/>
      </w:pPr>
      <w:r>
        <w:t xml:space="preserve">1st </w:t>
      </w:r>
      <w:proofErr w:type="spellStart"/>
      <w:r>
        <w:t>Group</w:t>
      </w:r>
      <w:proofErr w:type="spellEnd"/>
      <w:r>
        <w:t xml:space="preserve">;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</w:t>
      </w:r>
      <w:proofErr w:type="spellStart"/>
      <w:r>
        <w:t>medals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Olympic, </w:t>
      </w:r>
      <w:proofErr w:type="spellStart"/>
      <w:r>
        <w:t>Paralympic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Deaflympic</w:t>
      </w:r>
      <w:proofErr w:type="spellEnd"/>
      <w:r>
        <w:t xml:space="preserve"> Games,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Olympics</w:t>
      </w:r>
      <w:proofErr w:type="spellEnd"/>
      <w:r>
        <w:t xml:space="preserve">,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Championship </w:t>
      </w:r>
      <w:proofErr w:type="spellStart"/>
      <w:r>
        <w:t>Finals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Olympic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Cup </w:t>
      </w:r>
      <w:proofErr w:type="spellStart"/>
      <w:r>
        <w:t>Finals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hold</w:t>
      </w:r>
      <w:proofErr w:type="spellEnd"/>
      <w:r>
        <w:t xml:space="preserve">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Championships</w:t>
      </w:r>
      <w:proofErr w:type="spellEnd"/>
      <w:r>
        <w:t>,</w:t>
      </w:r>
    </w:p>
    <w:p w14:paraId="36A27A14" w14:textId="77777777" w:rsidR="0042229B" w:rsidRDefault="00F72CF3">
      <w:pPr>
        <w:pStyle w:val="P68B1DB1-ListParagraph3"/>
        <w:numPr>
          <w:ilvl w:val="0"/>
          <w:numId w:val="1"/>
        </w:numPr>
        <w:tabs>
          <w:tab w:val="left" w:pos="1210"/>
        </w:tabs>
        <w:spacing w:before="161" w:line="259" w:lineRule="auto"/>
        <w:ind w:right="111" w:firstLine="708"/>
        <w:jc w:val="both"/>
      </w:pPr>
      <w:r>
        <w:t xml:space="preserve">2nd </w:t>
      </w:r>
      <w:proofErr w:type="spellStart"/>
      <w:r>
        <w:t>Group</w:t>
      </w:r>
      <w:proofErr w:type="spellEnd"/>
      <w:r>
        <w:t xml:space="preserve">;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Championship </w:t>
      </w:r>
      <w:proofErr w:type="spellStart"/>
      <w:r>
        <w:t>Finals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of </w:t>
      </w:r>
      <w:proofErr w:type="spellStart"/>
      <w:r>
        <w:t>Hopes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Stars in </w:t>
      </w:r>
      <w:proofErr w:type="spellStart"/>
      <w:r>
        <w:t>the</w:t>
      </w:r>
      <w:proofErr w:type="spellEnd"/>
      <w:r>
        <w:t xml:space="preserve"> Olympic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,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Cup </w:t>
      </w:r>
      <w:proofErr w:type="spellStart"/>
      <w:r>
        <w:t>Finals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category</w:t>
      </w:r>
      <w:proofErr w:type="spellEnd"/>
      <w:r>
        <w:t xml:space="preserve"> of </w:t>
      </w:r>
      <w:proofErr w:type="spellStart"/>
      <w:r>
        <w:t>Hopes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Stars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Championships</w:t>
      </w:r>
      <w:proofErr w:type="spellEnd"/>
      <w:r>
        <w:t>,</w:t>
      </w:r>
    </w:p>
    <w:p w14:paraId="12321C1F" w14:textId="77777777" w:rsidR="0042229B" w:rsidRDefault="0042229B">
      <w:pPr>
        <w:spacing w:line="259" w:lineRule="auto"/>
        <w:jc w:val="both"/>
        <w:rPr>
          <w:sz w:val="24"/>
        </w:rPr>
        <w:sectPr w:rsidR="0042229B">
          <w:pgSz w:w="11910" w:h="16840"/>
          <w:pgMar w:top="1500" w:right="1020" w:bottom="280" w:left="1020" w:header="708" w:footer="708" w:gutter="0"/>
          <w:cols w:space="708"/>
        </w:sectPr>
      </w:pPr>
    </w:p>
    <w:p w14:paraId="276D9659" w14:textId="77777777" w:rsidR="0042229B" w:rsidRDefault="00F72CF3">
      <w:pPr>
        <w:pStyle w:val="GvdeMetni"/>
        <w:spacing w:before="73" w:line="259" w:lineRule="auto"/>
        <w:ind w:right="112"/>
        <w:jc w:val="both"/>
      </w:pPr>
      <w:proofErr w:type="spellStart"/>
      <w:r>
        <w:lastRenderedPageBreak/>
        <w:t>Athletes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</w:t>
      </w:r>
      <w:proofErr w:type="spellStart"/>
      <w:r>
        <w:t>medals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Games, </w:t>
      </w:r>
      <w:proofErr w:type="spellStart"/>
      <w:r>
        <w:t>University</w:t>
      </w:r>
      <w:proofErr w:type="spellEnd"/>
      <w:r>
        <w:t xml:space="preserve"> Games, </w:t>
      </w:r>
      <w:proofErr w:type="spellStart"/>
      <w:r>
        <w:t>Mediterranean</w:t>
      </w:r>
      <w:proofErr w:type="spellEnd"/>
      <w:r>
        <w:t xml:space="preserve"> Games, </w:t>
      </w:r>
      <w:proofErr w:type="spellStart"/>
      <w:r>
        <w:t>Islamic</w:t>
      </w:r>
      <w:proofErr w:type="spellEnd"/>
      <w:r>
        <w:t xml:space="preserve"> Games, </w:t>
      </w:r>
      <w:proofErr w:type="spellStart"/>
      <w:r>
        <w:t>European</w:t>
      </w:r>
      <w:proofErr w:type="spellEnd"/>
      <w:r>
        <w:t xml:space="preserve"> Olympic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World </w:t>
      </w:r>
      <w:proofErr w:type="spellStart"/>
      <w:r>
        <w:t>Championships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FISU (International </w:t>
      </w:r>
      <w:proofErr w:type="spellStart"/>
      <w:r>
        <w:t>University</w:t>
      </w:r>
      <w:proofErr w:type="spellEnd"/>
      <w:r>
        <w:t xml:space="preserve"> Sports </w:t>
      </w:r>
      <w:proofErr w:type="spellStart"/>
      <w:r>
        <w:t>Federation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Olympic, </w:t>
      </w:r>
      <w:proofErr w:type="spellStart"/>
      <w:r>
        <w:t>Paralympic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Deaflympic</w:t>
      </w:r>
      <w:proofErr w:type="spellEnd"/>
      <w:r>
        <w:t xml:space="preserve"> Games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Olympics</w:t>
      </w:r>
      <w:proofErr w:type="spellEnd"/>
      <w:r>
        <w:t>,</w:t>
      </w:r>
    </w:p>
    <w:p w14:paraId="322D99F1" w14:textId="77777777" w:rsidR="0042229B" w:rsidRDefault="00F72CF3">
      <w:pPr>
        <w:pStyle w:val="P68B1DB1-ListParagraph3"/>
        <w:numPr>
          <w:ilvl w:val="0"/>
          <w:numId w:val="1"/>
        </w:numPr>
        <w:tabs>
          <w:tab w:val="left" w:pos="1068"/>
        </w:tabs>
        <w:spacing w:before="160" w:line="259" w:lineRule="auto"/>
        <w:ind w:right="111" w:firstLine="708"/>
        <w:jc w:val="both"/>
      </w:pPr>
      <w:r>
        <w:t xml:space="preserve">3rd </w:t>
      </w:r>
      <w:proofErr w:type="spellStart"/>
      <w:r>
        <w:t>Group</w:t>
      </w:r>
      <w:proofErr w:type="spellEnd"/>
      <w:r>
        <w:t xml:space="preserve">;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</w:t>
      </w:r>
      <w:proofErr w:type="spellStart"/>
      <w:r>
        <w:t>medals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tournaments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in Olympic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federations</w:t>
      </w:r>
      <w:proofErr w:type="spellEnd"/>
      <w:r>
        <w:t xml:space="preserve">,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16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teams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9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</w:t>
      </w:r>
      <w:proofErr w:type="spellStart"/>
      <w:r>
        <w:t>medals</w:t>
      </w:r>
      <w:proofErr w:type="spellEnd"/>
      <w:r>
        <w:t xml:space="preserve"> in Olympic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Seniors</w:t>
      </w:r>
      <w:proofErr w:type="spellEnd"/>
      <w:r>
        <w:t xml:space="preserve">, </w:t>
      </w:r>
      <w:proofErr w:type="spellStart"/>
      <w:r>
        <w:t>Hopefuls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World </w:t>
      </w:r>
      <w:proofErr w:type="spellStart"/>
      <w:r>
        <w:t>Championships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stars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Cups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adults</w:t>
      </w:r>
      <w:proofErr w:type="spellEnd"/>
      <w:r>
        <w:t xml:space="preserve">, </w:t>
      </w:r>
      <w:proofErr w:type="spellStart"/>
      <w:r>
        <w:t>hopes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of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hold</w:t>
      </w:r>
      <w:proofErr w:type="spellEnd"/>
      <w:r>
        <w:t xml:space="preserve"> World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Championships</w:t>
      </w:r>
      <w:proofErr w:type="spellEnd"/>
    </w:p>
    <w:p w14:paraId="1A778294" w14:textId="2D7F9204" w:rsidR="0042229B" w:rsidRDefault="00F72CF3">
      <w:pPr>
        <w:pStyle w:val="P68B1DB1-Normal2"/>
        <w:spacing w:before="160" w:line="259" w:lineRule="auto"/>
        <w:ind w:left="112" w:right="112" w:firstLine="708"/>
        <w:jc w:val="both"/>
        <w:rPr>
          <w:b/>
        </w:rPr>
      </w:pPr>
      <w:r>
        <w:t xml:space="preserve">(2) </w:t>
      </w:r>
      <w:proofErr w:type="spellStart"/>
      <w:r>
        <w:t>This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periods</w:t>
      </w:r>
      <w:proofErr w:type="spellEnd"/>
      <w:r w:rsidR="00603ECD">
        <w:t>,</w:t>
      </w:r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. </w:t>
      </w:r>
      <w:r>
        <w:rPr>
          <w:b/>
        </w:rPr>
        <w:t>(</w:t>
      </w:r>
      <w:proofErr w:type="spellStart"/>
      <w:r>
        <w:rPr>
          <w:b/>
        </w:rPr>
        <w:t>Amendment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Senate's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dated</w:t>
      </w:r>
      <w:proofErr w:type="spellEnd"/>
      <w:r>
        <w:rPr>
          <w:b/>
        </w:rPr>
        <w:t xml:space="preserve"> 08/05/2020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numbered</w:t>
      </w:r>
      <w:proofErr w:type="spellEnd"/>
      <w:r>
        <w:rPr>
          <w:b/>
        </w:rPr>
        <w:t xml:space="preserve"> 2020/07-04)</w:t>
      </w:r>
    </w:p>
    <w:p w14:paraId="75D91AF0" w14:textId="77777777" w:rsidR="0042229B" w:rsidRDefault="0042229B">
      <w:pPr>
        <w:pStyle w:val="GvdeMetni"/>
        <w:ind w:left="0"/>
        <w:rPr>
          <w:b/>
          <w:sz w:val="26"/>
        </w:rPr>
      </w:pPr>
    </w:p>
    <w:p w14:paraId="24EB6BB7" w14:textId="77777777" w:rsidR="0042229B" w:rsidRDefault="0042229B" w:rsidP="0060234E">
      <w:pPr>
        <w:pStyle w:val="GvdeMetni"/>
        <w:spacing w:before="9"/>
        <w:ind w:left="0"/>
        <w:jc w:val="center"/>
        <w:rPr>
          <w:b/>
          <w:sz w:val="27"/>
        </w:rPr>
      </w:pPr>
    </w:p>
    <w:p w14:paraId="76900F23" w14:textId="42B0270D" w:rsidR="0042229B" w:rsidRDefault="00F72CF3" w:rsidP="0060234E">
      <w:pPr>
        <w:pStyle w:val="Balk1"/>
        <w:jc w:val="center"/>
      </w:pPr>
      <w:proofErr w:type="spellStart"/>
      <w:r>
        <w:t>Disabled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</w:p>
    <w:p w14:paraId="0FA1B2BF" w14:textId="21579E58" w:rsidR="0042229B" w:rsidRDefault="00F72CF3">
      <w:pPr>
        <w:pStyle w:val="GvdeMetni"/>
        <w:spacing w:before="179" w:line="259" w:lineRule="auto"/>
        <w:ind w:right="355" w:firstLine="708"/>
      </w:pPr>
      <w:r>
        <w:rPr>
          <w:b/>
        </w:rPr>
        <w:t>A</w:t>
      </w:r>
      <w:r w:rsidR="00054691">
        <w:rPr>
          <w:b/>
        </w:rPr>
        <w:t xml:space="preserve">RTICLE </w:t>
      </w:r>
      <w:r>
        <w:rPr>
          <w:b/>
        </w:rPr>
        <w:t xml:space="preserve"> 12 – </w:t>
      </w:r>
      <w:r>
        <w:t xml:space="preserve">(1)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additional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accrued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40%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603ECD">
        <w:t xml:space="preserve">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>.</w:t>
      </w:r>
    </w:p>
    <w:p w14:paraId="4952F4C5" w14:textId="77777777" w:rsidR="0042229B" w:rsidRDefault="0042229B">
      <w:pPr>
        <w:pStyle w:val="GvdeMetni"/>
        <w:ind w:left="0"/>
        <w:rPr>
          <w:sz w:val="26"/>
        </w:rPr>
      </w:pPr>
    </w:p>
    <w:p w14:paraId="0E8509ED" w14:textId="77777777" w:rsidR="0042229B" w:rsidRDefault="0042229B" w:rsidP="0060234E">
      <w:pPr>
        <w:pStyle w:val="GvdeMetni"/>
        <w:spacing w:before="7"/>
        <w:ind w:left="0"/>
        <w:jc w:val="center"/>
        <w:rPr>
          <w:sz w:val="27"/>
        </w:rPr>
      </w:pPr>
    </w:p>
    <w:p w14:paraId="20DA9334" w14:textId="628CE8C9" w:rsidR="0042229B" w:rsidRDefault="00423702" w:rsidP="0060234E">
      <w:pPr>
        <w:pStyle w:val="Balk1"/>
        <w:jc w:val="center"/>
      </w:pPr>
      <w:proofErr w:type="spellStart"/>
      <w:r>
        <w:t>Vertical</w:t>
      </w:r>
      <w:proofErr w:type="spellEnd"/>
      <w:r w:rsidR="00F72CF3">
        <w:t xml:space="preserve"> Transfer </w:t>
      </w:r>
      <w:proofErr w:type="spellStart"/>
      <w:r w:rsidR="00F72CF3">
        <w:t>Exam</w:t>
      </w:r>
      <w:proofErr w:type="spellEnd"/>
      <w:r w:rsidR="00F72CF3">
        <w:t xml:space="preserve"> </w:t>
      </w:r>
      <w:proofErr w:type="spellStart"/>
      <w:r w:rsidR="006825A3">
        <w:t>Scholarship</w:t>
      </w:r>
      <w:proofErr w:type="spellEnd"/>
    </w:p>
    <w:p w14:paraId="7C4DFE04" w14:textId="5B80FE36" w:rsidR="0042229B" w:rsidRDefault="00F72CF3">
      <w:pPr>
        <w:pStyle w:val="GvdeMetni"/>
        <w:spacing w:before="182" w:line="259" w:lineRule="auto"/>
        <w:ind w:right="114" w:firstLine="708"/>
        <w:jc w:val="both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13 – </w:t>
      </w:r>
      <w:r>
        <w:t xml:space="preserve">(1)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education</w:t>
      </w:r>
      <w:proofErr w:type="spellEnd"/>
      <w:r>
        <w:t xml:space="preserve"> </w:t>
      </w:r>
      <w:proofErr w:type="spellStart"/>
      <w:r w:rsidR="006825A3">
        <w:t>scholarship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03ECD">
        <w:t>have</w:t>
      </w:r>
      <w:proofErr w:type="spellEnd"/>
      <w:r w:rsidR="00603ECD">
        <w:t xml:space="preserve">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 w:rsidR="00603ECD">
        <w:t>right</w:t>
      </w:r>
      <w:proofErr w:type="spellEnd"/>
      <w:r w:rsidR="00603ECD">
        <w:t xml:space="preserve"> </w:t>
      </w:r>
      <w:proofErr w:type="spellStart"/>
      <w:r w:rsidR="00603ECD">
        <w:t>to</w:t>
      </w:r>
      <w:proofErr w:type="spellEnd"/>
      <w:r w:rsidR="00603ECD">
        <w:t xml:space="preserve"> </w:t>
      </w:r>
      <w:proofErr w:type="spellStart"/>
      <w:r w:rsidR="00603ECD">
        <w:t>register</w:t>
      </w:r>
      <w:proofErr w:type="spellEnd"/>
      <w:r w:rsidR="00603ECD">
        <w:t xml:space="preserve"> </w:t>
      </w:r>
      <w:proofErr w:type="spellStart"/>
      <w:r w:rsidR="00603ECD">
        <w:t>with</w:t>
      </w:r>
      <w:proofErr w:type="spellEnd"/>
      <w:r w:rsidR="00603ECD">
        <w:t xml:space="preserve">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 w:rsidR="00423702">
        <w:t>Vertical</w:t>
      </w:r>
      <w:proofErr w:type="spellEnd"/>
      <w:r w:rsidR="00603ECD">
        <w:t xml:space="preserve"> Transfer </w:t>
      </w:r>
      <w:proofErr w:type="spellStart"/>
      <w:r w:rsidR="00603ECD">
        <w:t>Exam</w:t>
      </w:r>
      <w:proofErr w:type="spellEnd"/>
      <w:r w:rsidR="00603ECD">
        <w:t xml:space="preserve">, </w:t>
      </w:r>
      <w:proofErr w:type="spellStart"/>
      <w:r w:rsidR="00603ECD">
        <w:t>separately</w:t>
      </w:r>
      <w:proofErr w:type="spellEnd"/>
      <w:r w:rsidR="00603ECD">
        <w:t xml:space="preserve"> </w:t>
      </w:r>
      <w:proofErr w:type="spellStart"/>
      <w:r w:rsidR="00603ECD">
        <w:t>from</w:t>
      </w:r>
      <w:proofErr w:type="spellEnd"/>
      <w:r w:rsidR="00603ECD">
        <w:t xml:space="preserve"> </w:t>
      </w:r>
      <w:proofErr w:type="spellStart"/>
      <w:r w:rsidR="00603ECD">
        <w:t>the</w:t>
      </w:r>
      <w:proofErr w:type="spellEnd"/>
      <w:r w:rsidR="00603ECD">
        <w:t xml:space="preserve"> </w:t>
      </w:r>
      <w:proofErr w:type="spellStart"/>
      <w:r w:rsidR="00603ECD">
        <w:t>tuition</w:t>
      </w:r>
      <w:proofErr w:type="spellEnd"/>
      <w:r w:rsidR="00603ECD">
        <w:t xml:space="preserve"> </w:t>
      </w:r>
      <w:proofErr w:type="spellStart"/>
      <w:r w:rsidR="00603ECD">
        <w:t>fee</w:t>
      </w:r>
      <w:proofErr w:type="spellEnd"/>
      <w:r w:rsidR="00603ECD">
        <w:t xml:space="preserve"> </w:t>
      </w:r>
      <w:proofErr w:type="spellStart"/>
      <w:r w:rsidR="00603ECD">
        <w:t>to</w:t>
      </w:r>
      <w:proofErr w:type="spellEnd"/>
      <w:r w:rsidR="00603ECD">
        <w:t xml:space="preserve"> be </w:t>
      </w:r>
      <w:proofErr w:type="spellStart"/>
      <w:r w:rsidR="00603ECD">
        <w:t>accrued</w:t>
      </w:r>
      <w:proofErr w:type="spellEnd"/>
      <w:r w:rsidR="00603ECD">
        <w:t xml:space="preserve"> </w:t>
      </w:r>
      <w:proofErr w:type="spellStart"/>
      <w:r w:rsidR="00603ECD">
        <w:t>to</w:t>
      </w:r>
      <w:proofErr w:type="spellEnd"/>
      <w:r w:rsidR="00603ECD">
        <w:t xml:space="preserve"> </w:t>
      </w:r>
      <w:proofErr w:type="spellStart"/>
      <w:r w:rsidR="00603ECD">
        <w:t>them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5716CE45" w14:textId="77777777" w:rsidR="0042229B" w:rsidRDefault="0042229B">
      <w:pPr>
        <w:pStyle w:val="GvdeMetni"/>
        <w:ind w:left="0"/>
        <w:rPr>
          <w:sz w:val="26"/>
        </w:rPr>
      </w:pPr>
    </w:p>
    <w:p w14:paraId="20F41FC9" w14:textId="77777777" w:rsidR="0042229B" w:rsidRDefault="0042229B">
      <w:pPr>
        <w:pStyle w:val="GvdeMetni"/>
        <w:spacing w:before="9"/>
        <w:ind w:left="0"/>
        <w:rPr>
          <w:sz w:val="27"/>
        </w:rPr>
      </w:pPr>
    </w:p>
    <w:p w14:paraId="50741904" w14:textId="71BDA667" w:rsidR="0042229B" w:rsidRDefault="00F72CF3">
      <w:pPr>
        <w:pStyle w:val="GvdeMetni"/>
        <w:spacing w:before="1" w:line="259" w:lineRule="auto"/>
        <w:ind w:right="112" w:firstLine="708"/>
        <w:jc w:val="both"/>
      </w:pPr>
      <w:r>
        <w:rPr>
          <w:b/>
        </w:rPr>
        <w:t>A</w:t>
      </w:r>
      <w:r w:rsidR="00054691">
        <w:rPr>
          <w:b/>
        </w:rPr>
        <w:t>RTICLE</w:t>
      </w:r>
      <w:r>
        <w:rPr>
          <w:b/>
        </w:rPr>
        <w:t xml:space="preserve"> 14 – </w:t>
      </w:r>
      <w:r>
        <w:t xml:space="preserve">(1)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, </w:t>
      </w:r>
      <w:proofErr w:type="spellStart"/>
      <w:r>
        <w:t>rates</w:t>
      </w:r>
      <w:proofErr w:type="spellEnd"/>
      <w:r>
        <w:t xml:space="preserve">,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of </w:t>
      </w:r>
      <w:proofErr w:type="spellStart"/>
      <w:r>
        <w:t>Trustees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10F094BC" w14:textId="231BB377" w:rsidR="0042229B" w:rsidRDefault="00137197" w:rsidP="00137197">
      <w:pPr>
        <w:pStyle w:val="Balk1"/>
        <w:spacing w:before="159"/>
      </w:pPr>
      <w:r>
        <w:t xml:space="preserve">                                                          </w:t>
      </w:r>
      <w:proofErr w:type="spellStart"/>
      <w:r w:rsidR="00F72CF3">
        <w:t>Enforcement</w:t>
      </w:r>
      <w:proofErr w:type="spellEnd"/>
    </w:p>
    <w:p w14:paraId="37DF067A" w14:textId="77777777" w:rsidR="005C360D" w:rsidRDefault="00054691">
      <w:pPr>
        <w:pStyle w:val="GvdeMetni"/>
        <w:spacing w:before="182" w:line="259" w:lineRule="auto"/>
        <w:ind w:right="677" w:firstLine="708"/>
      </w:pPr>
      <w:r>
        <w:rPr>
          <w:b/>
        </w:rPr>
        <w:t>ARTICLE 15</w:t>
      </w:r>
      <w:r w:rsidR="00F72CF3">
        <w:rPr>
          <w:b/>
        </w:rPr>
        <w:t xml:space="preserve"> – </w:t>
      </w:r>
      <w:r w:rsidR="00F72CF3">
        <w:t xml:space="preserve">(1) </w:t>
      </w:r>
      <w:proofErr w:type="spellStart"/>
      <w:r w:rsidR="00F72CF3">
        <w:t>This</w:t>
      </w:r>
      <w:proofErr w:type="spellEnd"/>
      <w:r w:rsidR="00F72CF3">
        <w:t xml:space="preserve"> </w:t>
      </w:r>
      <w:proofErr w:type="spellStart"/>
      <w:r w:rsidR="00F72CF3">
        <w:t>instruction</w:t>
      </w:r>
      <w:proofErr w:type="spellEnd"/>
      <w:r w:rsidR="00F72CF3">
        <w:t xml:space="preserve"> </w:t>
      </w:r>
      <w:proofErr w:type="spellStart"/>
      <w:r w:rsidR="00F72CF3">
        <w:t>enters</w:t>
      </w:r>
      <w:proofErr w:type="spellEnd"/>
      <w:r w:rsidR="00F72CF3">
        <w:t xml:space="preserve"> </w:t>
      </w:r>
      <w:proofErr w:type="spellStart"/>
      <w:r w:rsidR="00F72CF3">
        <w:t>into</w:t>
      </w:r>
      <w:proofErr w:type="spellEnd"/>
      <w:r w:rsidR="00F72CF3">
        <w:t xml:space="preserve"> </w:t>
      </w:r>
      <w:proofErr w:type="spellStart"/>
      <w:r w:rsidR="00F72CF3">
        <w:t>force</w:t>
      </w:r>
      <w:proofErr w:type="spellEnd"/>
      <w:r w:rsidR="00F72CF3">
        <w:t xml:space="preserve"> on </w:t>
      </w:r>
      <w:proofErr w:type="spellStart"/>
      <w:r w:rsidR="00F72CF3">
        <w:t>the</w:t>
      </w:r>
      <w:proofErr w:type="spellEnd"/>
      <w:r w:rsidR="00F72CF3">
        <w:t xml:space="preserve"> </w:t>
      </w:r>
      <w:proofErr w:type="spellStart"/>
      <w:r w:rsidR="00F72CF3">
        <w:t>date</w:t>
      </w:r>
      <w:proofErr w:type="spellEnd"/>
      <w:r w:rsidR="00F72CF3">
        <w:t xml:space="preserve"> it is </w:t>
      </w:r>
      <w:proofErr w:type="spellStart"/>
      <w:r w:rsidR="00F72CF3">
        <w:t>accepted</w:t>
      </w:r>
      <w:proofErr w:type="spellEnd"/>
      <w:r w:rsidR="00F72CF3">
        <w:t xml:space="preserve"> </w:t>
      </w:r>
      <w:proofErr w:type="spellStart"/>
      <w:r w:rsidR="00F72CF3">
        <w:t>by</w:t>
      </w:r>
      <w:proofErr w:type="spellEnd"/>
      <w:r w:rsidR="00F72CF3">
        <w:t xml:space="preserve"> </w:t>
      </w:r>
      <w:proofErr w:type="spellStart"/>
      <w:r w:rsidR="00F72CF3">
        <w:t>the</w:t>
      </w:r>
      <w:proofErr w:type="spellEnd"/>
      <w:r w:rsidR="00F72CF3">
        <w:t xml:space="preserve"> </w:t>
      </w:r>
      <w:proofErr w:type="spellStart"/>
      <w:r w:rsidR="00F72CF3">
        <w:t>Istanbul</w:t>
      </w:r>
      <w:proofErr w:type="spellEnd"/>
      <w:r w:rsidR="00F72CF3">
        <w:t xml:space="preserve"> </w:t>
      </w:r>
      <w:proofErr w:type="spellStart"/>
      <w:r w:rsidR="00F72CF3">
        <w:t>Medipol</w:t>
      </w:r>
      <w:proofErr w:type="spellEnd"/>
      <w:r w:rsidR="00F72CF3">
        <w:t xml:space="preserve"> </w:t>
      </w:r>
      <w:proofErr w:type="spellStart"/>
      <w:r w:rsidR="00F72CF3">
        <w:t>University</w:t>
      </w:r>
      <w:proofErr w:type="spellEnd"/>
      <w:r w:rsidR="00F72CF3">
        <w:t xml:space="preserve"> </w:t>
      </w:r>
      <w:proofErr w:type="spellStart"/>
      <w:proofErr w:type="gramStart"/>
      <w:r w:rsidR="00F72CF3">
        <w:t>Senate</w:t>
      </w:r>
      <w:proofErr w:type="spellEnd"/>
      <w:proofErr w:type="gramEnd"/>
      <w:r w:rsidR="00F72CF3">
        <w:t>.</w:t>
      </w:r>
      <w:r w:rsidR="005C360D" w:rsidRPr="005C360D">
        <w:t xml:space="preserve"> </w:t>
      </w:r>
    </w:p>
    <w:p w14:paraId="7886A172" w14:textId="1C8F132A" w:rsidR="0042229B" w:rsidRPr="005C360D" w:rsidRDefault="005C360D" w:rsidP="005C360D">
      <w:pPr>
        <w:pStyle w:val="GvdeMetni"/>
        <w:spacing w:before="182" w:line="259" w:lineRule="auto"/>
        <w:ind w:right="677" w:firstLine="708"/>
        <w:jc w:val="center"/>
        <w:rPr>
          <w:b/>
          <w:bCs/>
        </w:rPr>
      </w:pPr>
      <w:proofErr w:type="spellStart"/>
      <w:r w:rsidRPr="005C360D">
        <w:rPr>
          <w:b/>
          <w:bCs/>
        </w:rPr>
        <w:t>Execution</w:t>
      </w:r>
      <w:proofErr w:type="spellEnd"/>
    </w:p>
    <w:p w14:paraId="5FEC989C" w14:textId="0EAADF5D" w:rsidR="0042229B" w:rsidRDefault="00054691">
      <w:pPr>
        <w:pStyle w:val="GvdeMetni"/>
        <w:spacing w:before="160"/>
        <w:ind w:left="820"/>
      </w:pPr>
      <w:r>
        <w:rPr>
          <w:b/>
        </w:rPr>
        <w:t>ARTICLE 16</w:t>
      </w:r>
      <w:r w:rsidR="00F72CF3">
        <w:rPr>
          <w:b/>
        </w:rPr>
        <w:t xml:space="preserve"> – (</w:t>
      </w:r>
      <w:proofErr w:type="spellStart"/>
      <w:r w:rsidR="00F72CF3">
        <w:t>one</w:t>
      </w:r>
      <w:proofErr w:type="spellEnd"/>
      <w:r w:rsidR="00F72CF3">
        <w:rPr>
          <w:b/>
        </w:rPr>
        <w:t xml:space="preserve">) </w:t>
      </w:r>
      <w:proofErr w:type="spellStart"/>
      <w:r w:rsidR="00F72CF3">
        <w:t>The</w:t>
      </w:r>
      <w:proofErr w:type="spellEnd"/>
      <w:r w:rsidR="00F72CF3">
        <w:t xml:space="preserve"> </w:t>
      </w:r>
      <w:proofErr w:type="spellStart"/>
      <w:r w:rsidR="00F72CF3">
        <w:t>provisions</w:t>
      </w:r>
      <w:proofErr w:type="spellEnd"/>
      <w:r w:rsidR="00F72CF3">
        <w:t xml:space="preserve"> of </w:t>
      </w:r>
      <w:proofErr w:type="spellStart"/>
      <w:r w:rsidR="00F72CF3">
        <w:t>this</w:t>
      </w:r>
      <w:proofErr w:type="spellEnd"/>
      <w:r w:rsidR="00F72CF3">
        <w:t xml:space="preserve"> </w:t>
      </w:r>
      <w:proofErr w:type="spellStart"/>
      <w:r w:rsidR="00F72CF3">
        <w:t>instruction</w:t>
      </w:r>
      <w:proofErr w:type="spellEnd"/>
      <w:r w:rsidR="00F72CF3">
        <w:t xml:space="preserve"> </w:t>
      </w:r>
      <w:proofErr w:type="spellStart"/>
      <w:r w:rsidR="00F72CF3">
        <w:t>are</w:t>
      </w:r>
      <w:proofErr w:type="spellEnd"/>
      <w:r w:rsidR="00F72CF3">
        <w:t xml:space="preserve"> </w:t>
      </w:r>
      <w:proofErr w:type="spellStart"/>
      <w:r w:rsidR="00F72CF3">
        <w:t>executed</w:t>
      </w:r>
      <w:proofErr w:type="spellEnd"/>
      <w:r w:rsidR="00F72CF3">
        <w:t xml:space="preserve"> </w:t>
      </w:r>
      <w:proofErr w:type="spellStart"/>
      <w:r w:rsidR="00F72CF3">
        <w:t>by</w:t>
      </w:r>
      <w:proofErr w:type="spellEnd"/>
      <w:r w:rsidR="00F72CF3">
        <w:t xml:space="preserve"> </w:t>
      </w:r>
      <w:proofErr w:type="spellStart"/>
      <w:r w:rsidR="00F72CF3">
        <w:t>the</w:t>
      </w:r>
      <w:proofErr w:type="spellEnd"/>
      <w:r w:rsidR="00F72CF3">
        <w:t xml:space="preserve"> </w:t>
      </w:r>
      <w:proofErr w:type="spellStart"/>
      <w:r w:rsidR="00F72CF3">
        <w:t>Rector</w:t>
      </w:r>
      <w:proofErr w:type="spellEnd"/>
      <w:r w:rsidR="00F72CF3">
        <w:t xml:space="preserve"> of </w:t>
      </w:r>
      <w:proofErr w:type="spellStart"/>
      <w:r w:rsidR="00F72CF3">
        <w:t>Istanbul</w:t>
      </w:r>
      <w:proofErr w:type="spellEnd"/>
      <w:r w:rsidR="00F72CF3">
        <w:t xml:space="preserve"> </w:t>
      </w:r>
      <w:proofErr w:type="spellStart"/>
      <w:r w:rsidR="00F72CF3">
        <w:t>Medipol</w:t>
      </w:r>
      <w:proofErr w:type="spellEnd"/>
      <w:r w:rsidR="00F72CF3">
        <w:t xml:space="preserve"> </w:t>
      </w:r>
      <w:proofErr w:type="spellStart"/>
      <w:r w:rsidR="00F72CF3">
        <w:t>University</w:t>
      </w:r>
      <w:proofErr w:type="spellEnd"/>
      <w:r w:rsidR="00F72CF3">
        <w:t>.</w:t>
      </w:r>
    </w:p>
    <w:p w14:paraId="12A77ECD" w14:textId="77777777" w:rsidR="0042229B" w:rsidRDefault="0042229B">
      <w:pPr>
        <w:pStyle w:val="GvdeMetni"/>
        <w:ind w:left="0"/>
        <w:rPr>
          <w:sz w:val="26"/>
        </w:rPr>
      </w:pPr>
    </w:p>
    <w:p w14:paraId="3EB8480D" w14:textId="77777777" w:rsidR="0042229B" w:rsidRDefault="0042229B">
      <w:pPr>
        <w:pStyle w:val="GvdeMetni"/>
        <w:ind w:left="0"/>
        <w:rPr>
          <w:sz w:val="26"/>
        </w:rPr>
      </w:pPr>
    </w:p>
    <w:p w14:paraId="3EB102CC" w14:textId="77777777" w:rsidR="0042229B" w:rsidRDefault="0042229B">
      <w:pPr>
        <w:pStyle w:val="GvdeMetni"/>
        <w:ind w:left="0"/>
        <w:rPr>
          <w:sz w:val="26"/>
        </w:rPr>
      </w:pPr>
    </w:p>
    <w:p w14:paraId="27C5316A" w14:textId="77777777" w:rsidR="0042229B" w:rsidRDefault="00F72CF3">
      <w:pPr>
        <w:pStyle w:val="GvdeMetni"/>
        <w:spacing w:before="199"/>
        <w:jc w:val="both"/>
      </w:pPr>
      <w:r>
        <w:t xml:space="preserve">*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08/05/2019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2019/05-05.</w:t>
      </w:r>
    </w:p>
    <w:p w14:paraId="53057929" w14:textId="77777777" w:rsidR="0042229B" w:rsidRDefault="00F72CF3">
      <w:pPr>
        <w:pStyle w:val="GvdeMetni"/>
        <w:spacing w:before="182"/>
        <w:jc w:val="both"/>
      </w:pPr>
      <w:r>
        <w:t xml:space="preserve">**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dated</w:t>
      </w:r>
      <w:proofErr w:type="spellEnd"/>
      <w:r>
        <w:t xml:space="preserve"> 08/05/2020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2020/07-04.</w:t>
      </w:r>
    </w:p>
    <w:sectPr w:rsidR="0042229B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1B5"/>
    <w:multiLevelType w:val="hybridMultilevel"/>
    <w:tmpl w:val="228A8250"/>
    <w:lvl w:ilvl="0" w:tplc="D3E6C614">
      <w:start w:val="2"/>
      <w:numFmt w:val="decimal"/>
      <w:lvlText w:val="(%1)"/>
      <w:lvlJc w:val="left"/>
      <w:pPr>
        <w:ind w:left="112" w:hanging="413"/>
        <w:jc w:val="right"/>
      </w:pPr>
      <w:rPr>
        <w:rFonts w:hint="default"/>
        <w:spacing w:val="-6"/>
        <w:w w:val="99"/>
      </w:rPr>
    </w:lvl>
    <w:lvl w:ilvl="1" w:tplc="8AC42D34">
      <w:numFmt w:val="bullet"/>
      <w:lvlText w:val="•"/>
      <w:lvlJc w:val="left"/>
      <w:pPr>
        <w:ind w:left="1094" w:hanging="413"/>
      </w:pPr>
      <w:rPr>
        <w:rFonts w:hint="default"/>
      </w:rPr>
    </w:lvl>
    <w:lvl w:ilvl="2" w:tplc="700E5532">
      <w:numFmt w:val="bullet"/>
      <w:lvlText w:val="•"/>
      <w:lvlJc w:val="left"/>
      <w:pPr>
        <w:ind w:left="2069" w:hanging="413"/>
      </w:pPr>
      <w:rPr>
        <w:rFonts w:hint="default"/>
      </w:rPr>
    </w:lvl>
    <w:lvl w:ilvl="3" w:tplc="E90E408E">
      <w:numFmt w:val="bullet"/>
      <w:lvlText w:val="•"/>
      <w:lvlJc w:val="left"/>
      <w:pPr>
        <w:ind w:left="3043" w:hanging="413"/>
      </w:pPr>
      <w:rPr>
        <w:rFonts w:hint="default"/>
      </w:rPr>
    </w:lvl>
    <w:lvl w:ilvl="4" w:tplc="081C904E">
      <w:numFmt w:val="bullet"/>
      <w:lvlText w:val="•"/>
      <w:lvlJc w:val="left"/>
      <w:pPr>
        <w:ind w:left="4018" w:hanging="413"/>
      </w:pPr>
      <w:rPr>
        <w:rFonts w:hint="default"/>
      </w:rPr>
    </w:lvl>
    <w:lvl w:ilvl="5" w:tplc="9D506F40">
      <w:numFmt w:val="bullet"/>
      <w:lvlText w:val="•"/>
      <w:lvlJc w:val="left"/>
      <w:pPr>
        <w:ind w:left="4993" w:hanging="413"/>
      </w:pPr>
      <w:rPr>
        <w:rFonts w:hint="default"/>
      </w:rPr>
    </w:lvl>
    <w:lvl w:ilvl="6" w:tplc="84A2E012">
      <w:numFmt w:val="bullet"/>
      <w:lvlText w:val="•"/>
      <w:lvlJc w:val="left"/>
      <w:pPr>
        <w:ind w:left="5967" w:hanging="413"/>
      </w:pPr>
      <w:rPr>
        <w:rFonts w:hint="default"/>
      </w:rPr>
    </w:lvl>
    <w:lvl w:ilvl="7" w:tplc="CDEA05CC">
      <w:numFmt w:val="bullet"/>
      <w:lvlText w:val="•"/>
      <w:lvlJc w:val="left"/>
      <w:pPr>
        <w:ind w:left="6942" w:hanging="413"/>
      </w:pPr>
      <w:rPr>
        <w:rFonts w:hint="default"/>
      </w:rPr>
    </w:lvl>
    <w:lvl w:ilvl="8" w:tplc="C2BC5358">
      <w:numFmt w:val="bullet"/>
      <w:lvlText w:val="•"/>
      <w:lvlJc w:val="left"/>
      <w:pPr>
        <w:ind w:left="7917" w:hanging="413"/>
      </w:pPr>
      <w:rPr>
        <w:rFonts w:hint="default"/>
      </w:rPr>
    </w:lvl>
  </w:abstractNum>
  <w:abstractNum w:abstractNumId="1" w15:restartNumberingAfterBreak="0">
    <w:nsid w:val="0DE53361"/>
    <w:multiLevelType w:val="hybridMultilevel"/>
    <w:tmpl w:val="7EC4C176"/>
    <w:lvl w:ilvl="0" w:tplc="6EE49422">
      <w:start w:val="2"/>
      <w:numFmt w:val="decimal"/>
      <w:lvlText w:val="(%1)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EA09E26">
      <w:numFmt w:val="bullet"/>
      <w:lvlText w:val="•"/>
      <w:lvlJc w:val="left"/>
      <w:pPr>
        <w:ind w:left="1094" w:hanging="420"/>
      </w:pPr>
      <w:rPr>
        <w:rFonts w:hint="default"/>
      </w:rPr>
    </w:lvl>
    <w:lvl w:ilvl="2" w:tplc="C7662102">
      <w:numFmt w:val="bullet"/>
      <w:lvlText w:val="•"/>
      <w:lvlJc w:val="left"/>
      <w:pPr>
        <w:ind w:left="2069" w:hanging="420"/>
      </w:pPr>
      <w:rPr>
        <w:rFonts w:hint="default"/>
      </w:rPr>
    </w:lvl>
    <w:lvl w:ilvl="3" w:tplc="AC64E5B2">
      <w:numFmt w:val="bullet"/>
      <w:lvlText w:val="•"/>
      <w:lvlJc w:val="left"/>
      <w:pPr>
        <w:ind w:left="3043" w:hanging="420"/>
      </w:pPr>
      <w:rPr>
        <w:rFonts w:hint="default"/>
      </w:rPr>
    </w:lvl>
    <w:lvl w:ilvl="4" w:tplc="5A2253FE">
      <w:numFmt w:val="bullet"/>
      <w:lvlText w:val="•"/>
      <w:lvlJc w:val="left"/>
      <w:pPr>
        <w:ind w:left="4018" w:hanging="420"/>
      </w:pPr>
      <w:rPr>
        <w:rFonts w:hint="default"/>
      </w:rPr>
    </w:lvl>
    <w:lvl w:ilvl="5" w:tplc="BF5CBEA0">
      <w:numFmt w:val="bullet"/>
      <w:lvlText w:val="•"/>
      <w:lvlJc w:val="left"/>
      <w:pPr>
        <w:ind w:left="4993" w:hanging="420"/>
      </w:pPr>
      <w:rPr>
        <w:rFonts w:hint="default"/>
      </w:rPr>
    </w:lvl>
    <w:lvl w:ilvl="6" w:tplc="8864FAC2">
      <w:numFmt w:val="bullet"/>
      <w:lvlText w:val="•"/>
      <w:lvlJc w:val="left"/>
      <w:pPr>
        <w:ind w:left="5967" w:hanging="420"/>
      </w:pPr>
      <w:rPr>
        <w:rFonts w:hint="default"/>
      </w:rPr>
    </w:lvl>
    <w:lvl w:ilvl="7" w:tplc="6972D580">
      <w:numFmt w:val="bullet"/>
      <w:lvlText w:val="•"/>
      <w:lvlJc w:val="left"/>
      <w:pPr>
        <w:ind w:left="6942" w:hanging="420"/>
      </w:pPr>
      <w:rPr>
        <w:rFonts w:hint="default"/>
      </w:rPr>
    </w:lvl>
    <w:lvl w:ilvl="8" w:tplc="15B28B1A">
      <w:numFmt w:val="bullet"/>
      <w:lvlText w:val="•"/>
      <w:lvlJc w:val="left"/>
      <w:pPr>
        <w:ind w:left="7917" w:hanging="420"/>
      </w:pPr>
      <w:rPr>
        <w:rFonts w:hint="default"/>
      </w:rPr>
    </w:lvl>
  </w:abstractNum>
  <w:abstractNum w:abstractNumId="2" w15:restartNumberingAfterBreak="0">
    <w:nsid w:val="372C55DF"/>
    <w:multiLevelType w:val="hybridMultilevel"/>
    <w:tmpl w:val="2DCC3530"/>
    <w:lvl w:ilvl="0" w:tplc="E20EC528">
      <w:start w:val="1"/>
      <w:numFmt w:val="lowerLetter"/>
      <w:lvlText w:val="%1)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438EF092">
      <w:numFmt w:val="bullet"/>
      <w:lvlText w:val="•"/>
      <w:lvlJc w:val="left"/>
      <w:pPr>
        <w:ind w:left="1094" w:hanging="324"/>
      </w:pPr>
      <w:rPr>
        <w:rFonts w:hint="default"/>
      </w:rPr>
    </w:lvl>
    <w:lvl w:ilvl="2" w:tplc="D85CE270">
      <w:numFmt w:val="bullet"/>
      <w:lvlText w:val="•"/>
      <w:lvlJc w:val="left"/>
      <w:pPr>
        <w:ind w:left="2069" w:hanging="324"/>
      </w:pPr>
      <w:rPr>
        <w:rFonts w:hint="default"/>
      </w:rPr>
    </w:lvl>
    <w:lvl w:ilvl="3" w:tplc="97E835DC">
      <w:numFmt w:val="bullet"/>
      <w:lvlText w:val="•"/>
      <w:lvlJc w:val="left"/>
      <w:pPr>
        <w:ind w:left="3043" w:hanging="324"/>
      </w:pPr>
      <w:rPr>
        <w:rFonts w:hint="default"/>
      </w:rPr>
    </w:lvl>
    <w:lvl w:ilvl="4" w:tplc="BD806FE4">
      <w:numFmt w:val="bullet"/>
      <w:lvlText w:val="•"/>
      <w:lvlJc w:val="left"/>
      <w:pPr>
        <w:ind w:left="4018" w:hanging="324"/>
      </w:pPr>
      <w:rPr>
        <w:rFonts w:hint="default"/>
      </w:rPr>
    </w:lvl>
    <w:lvl w:ilvl="5" w:tplc="0C72C43E">
      <w:numFmt w:val="bullet"/>
      <w:lvlText w:val="•"/>
      <w:lvlJc w:val="left"/>
      <w:pPr>
        <w:ind w:left="4993" w:hanging="324"/>
      </w:pPr>
      <w:rPr>
        <w:rFonts w:hint="default"/>
      </w:rPr>
    </w:lvl>
    <w:lvl w:ilvl="6" w:tplc="2CA89322">
      <w:numFmt w:val="bullet"/>
      <w:lvlText w:val="•"/>
      <w:lvlJc w:val="left"/>
      <w:pPr>
        <w:ind w:left="5967" w:hanging="324"/>
      </w:pPr>
      <w:rPr>
        <w:rFonts w:hint="default"/>
      </w:rPr>
    </w:lvl>
    <w:lvl w:ilvl="7" w:tplc="0BD668F6">
      <w:numFmt w:val="bullet"/>
      <w:lvlText w:val="•"/>
      <w:lvlJc w:val="left"/>
      <w:pPr>
        <w:ind w:left="6942" w:hanging="324"/>
      </w:pPr>
      <w:rPr>
        <w:rFonts w:hint="default"/>
      </w:rPr>
    </w:lvl>
    <w:lvl w:ilvl="8" w:tplc="32EE5544">
      <w:numFmt w:val="bullet"/>
      <w:lvlText w:val="•"/>
      <w:lvlJc w:val="left"/>
      <w:pPr>
        <w:ind w:left="7917" w:hanging="324"/>
      </w:pPr>
      <w:rPr>
        <w:rFonts w:hint="default"/>
      </w:rPr>
    </w:lvl>
  </w:abstractNum>
  <w:abstractNum w:abstractNumId="3" w15:restartNumberingAfterBreak="0">
    <w:nsid w:val="4232313C"/>
    <w:multiLevelType w:val="hybridMultilevel"/>
    <w:tmpl w:val="2EEEB1E8"/>
    <w:lvl w:ilvl="0" w:tplc="A9968288">
      <w:start w:val="2"/>
      <w:numFmt w:val="decimal"/>
      <w:lvlText w:val="(%1)"/>
      <w:lvlJc w:val="left"/>
      <w:pPr>
        <w:ind w:left="112" w:hanging="3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03A9F34">
      <w:numFmt w:val="bullet"/>
      <w:lvlText w:val="•"/>
      <w:lvlJc w:val="left"/>
      <w:pPr>
        <w:ind w:left="1094" w:hanging="329"/>
      </w:pPr>
      <w:rPr>
        <w:rFonts w:hint="default"/>
      </w:rPr>
    </w:lvl>
    <w:lvl w:ilvl="2" w:tplc="29226750">
      <w:numFmt w:val="bullet"/>
      <w:lvlText w:val="•"/>
      <w:lvlJc w:val="left"/>
      <w:pPr>
        <w:ind w:left="2069" w:hanging="329"/>
      </w:pPr>
      <w:rPr>
        <w:rFonts w:hint="default"/>
      </w:rPr>
    </w:lvl>
    <w:lvl w:ilvl="3" w:tplc="DE480732">
      <w:numFmt w:val="bullet"/>
      <w:lvlText w:val="•"/>
      <w:lvlJc w:val="left"/>
      <w:pPr>
        <w:ind w:left="3043" w:hanging="329"/>
      </w:pPr>
      <w:rPr>
        <w:rFonts w:hint="default"/>
      </w:rPr>
    </w:lvl>
    <w:lvl w:ilvl="4" w:tplc="4426B704">
      <w:numFmt w:val="bullet"/>
      <w:lvlText w:val="•"/>
      <w:lvlJc w:val="left"/>
      <w:pPr>
        <w:ind w:left="4018" w:hanging="329"/>
      </w:pPr>
      <w:rPr>
        <w:rFonts w:hint="default"/>
      </w:rPr>
    </w:lvl>
    <w:lvl w:ilvl="5" w:tplc="848A3692">
      <w:numFmt w:val="bullet"/>
      <w:lvlText w:val="•"/>
      <w:lvlJc w:val="left"/>
      <w:pPr>
        <w:ind w:left="4993" w:hanging="329"/>
      </w:pPr>
      <w:rPr>
        <w:rFonts w:hint="default"/>
      </w:rPr>
    </w:lvl>
    <w:lvl w:ilvl="6" w:tplc="D416F15A">
      <w:numFmt w:val="bullet"/>
      <w:lvlText w:val="•"/>
      <w:lvlJc w:val="left"/>
      <w:pPr>
        <w:ind w:left="5967" w:hanging="329"/>
      </w:pPr>
      <w:rPr>
        <w:rFonts w:hint="default"/>
      </w:rPr>
    </w:lvl>
    <w:lvl w:ilvl="7" w:tplc="B55C2C30">
      <w:numFmt w:val="bullet"/>
      <w:lvlText w:val="•"/>
      <w:lvlJc w:val="left"/>
      <w:pPr>
        <w:ind w:left="6942" w:hanging="329"/>
      </w:pPr>
      <w:rPr>
        <w:rFonts w:hint="default"/>
      </w:rPr>
    </w:lvl>
    <w:lvl w:ilvl="8" w:tplc="BCCEA700">
      <w:numFmt w:val="bullet"/>
      <w:lvlText w:val="•"/>
      <w:lvlJc w:val="left"/>
      <w:pPr>
        <w:ind w:left="7917" w:hanging="329"/>
      </w:pPr>
      <w:rPr>
        <w:rFonts w:hint="default"/>
      </w:rPr>
    </w:lvl>
  </w:abstractNum>
  <w:abstractNum w:abstractNumId="4" w15:restartNumberingAfterBreak="0">
    <w:nsid w:val="46195D5B"/>
    <w:multiLevelType w:val="hybridMultilevel"/>
    <w:tmpl w:val="7FCC3F9E"/>
    <w:lvl w:ilvl="0" w:tplc="FBBE6EDC">
      <w:start w:val="1"/>
      <w:numFmt w:val="lowerLetter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CD0EF10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F00C8D92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B6B49A18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FC20EF1E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191C8DE2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7B6C42E8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2A3A7562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C3CE59F4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5" w15:restartNumberingAfterBreak="0">
    <w:nsid w:val="5F5A39B8"/>
    <w:multiLevelType w:val="hybridMultilevel"/>
    <w:tmpl w:val="FD1A6A52"/>
    <w:lvl w:ilvl="0" w:tplc="3D764FBE">
      <w:start w:val="2"/>
      <w:numFmt w:val="decimal"/>
      <w:lvlText w:val="(%1)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242BC70">
      <w:numFmt w:val="bullet"/>
      <w:lvlText w:val="•"/>
      <w:lvlJc w:val="left"/>
      <w:pPr>
        <w:ind w:left="1094" w:hanging="406"/>
      </w:pPr>
      <w:rPr>
        <w:rFonts w:hint="default"/>
      </w:rPr>
    </w:lvl>
    <w:lvl w:ilvl="2" w:tplc="973A2F54">
      <w:numFmt w:val="bullet"/>
      <w:lvlText w:val="•"/>
      <w:lvlJc w:val="left"/>
      <w:pPr>
        <w:ind w:left="2069" w:hanging="406"/>
      </w:pPr>
      <w:rPr>
        <w:rFonts w:hint="default"/>
      </w:rPr>
    </w:lvl>
    <w:lvl w:ilvl="3" w:tplc="0772E890">
      <w:numFmt w:val="bullet"/>
      <w:lvlText w:val="•"/>
      <w:lvlJc w:val="left"/>
      <w:pPr>
        <w:ind w:left="3043" w:hanging="406"/>
      </w:pPr>
      <w:rPr>
        <w:rFonts w:hint="default"/>
      </w:rPr>
    </w:lvl>
    <w:lvl w:ilvl="4" w:tplc="78A605C6">
      <w:numFmt w:val="bullet"/>
      <w:lvlText w:val="•"/>
      <w:lvlJc w:val="left"/>
      <w:pPr>
        <w:ind w:left="4018" w:hanging="406"/>
      </w:pPr>
      <w:rPr>
        <w:rFonts w:hint="default"/>
      </w:rPr>
    </w:lvl>
    <w:lvl w:ilvl="5" w:tplc="C7FA380E">
      <w:numFmt w:val="bullet"/>
      <w:lvlText w:val="•"/>
      <w:lvlJc w:val="left"/>
      <w:pPr>
        <w:ind w:left="4993" w:hanging="406"/>
      </w:pPr>
      <w:rPr>
        <w:rFonts w:hint="default"/>
      </w:rPr>
    </w:lvl>
    <w:lvl w:ilvl="6" w:tplc="EC5AF14C">
      <w:numFmt w:val="bullet"/>
      <w:lvlText w:val="•"/>
      <w:lvlJc w:val="left"/>
      <w:pPr>
        <w:ind w:left="5967" w:hanging="406"/>
      </w:pPr>
      <w:rPr>
        <w:rFonts w:hint="default"/>
      </w:rPr>
    </w:lvl>
    <w:lvl w:ilvl="7" w:tplc="BB94BB7C">
      <w:numFmt w:val="bullet"/>
      <w:lvlText w:val="•"/>
      <w:lvlJc w:val="left"/>
      <w:pPr>
        <w:ind w:left="6942" w:hanging="406"/>
      </w:pPr>
      <w:rPr>
        <w:rFonts w:hint="default"/>
      </w:rPr>
    </w:lvl>
    <w:lvl w:ilvl="8" w:tplc="2700A324">
      <w:numFmt w:val="bullet"/>
      <w:lvlText w:val="•"/>
      <w:lvlJc w:val="left"/>
      <w:pPr>
        <w:ind w:left="7917" w:hanging="406"/>
      </w:pPr>
      <w:rPr>
        <w:rFonts w:hint="default"/>
      </w:rPr>
    </w:lvl>
  </w:abstractNum>
  <w:abstractNum w:abstractNumId="6" w15:restartNumberingAfterBreak="0">
    <w:nsid w:val="66ED5378"/>
    <w:multiLevelType w:val="hybridMultilevel"/>
    <w:tmpl w:val="D3B20548"/>
    <w:lvl w:ilvl="0" w:tplc="D8A49E90">
      <w:start w:val="1"/>
      <w:numFmt w:val="lowerLetter"/>
      <w:lvlText w:val="%1)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04CB5AA"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E1AC37EA">
      <w:numFmt w:val="bullet"/>
      <w:lvlText w:val="•"/>
      <w:lvlJc w:val="left"/>
      <w:pPr>
        <w:ind w:left="2069" w:hanging="245"/>
      </w:pPr>
      <w:rPr>
        <w:rFonts w:hint="default"/>
      </w:rPr>
    </w:lvl>
    <w:lvl w:ilvl="3" w:tplc="870C4E28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D568A6BE">
      <w:numFmt w:val="bullet"/>
      <w:lvlText w:val="•"/>
      <w:lvlJc w:val="left"/>
      <w:pPr>
        <w:ind w:left="4018" w:hanging="245"/>
      </w:pPr>
      <w:rPr>
        <w:rFonts w:hint="default"/>
      </w:rPr>
    </w:lvl>
    <w:lvl w:ilvl="5" w:tplc="53125AC8">
      <w:numFmt w:val="bullet"/>
      <w:lvlText w:val="•"/>
      <w:lvlJc w:val="left"/>
      <w:pPr>
        <w:ind w:left="4993" w:hanging="245"/>
      </w:pPr>
      <w:rPr>
        <w:rFonts w:hint="default"/>
      </w:rPr>
    </w:lvl>
    <w:lvl w:ilvl="6" w:tplc="1A244C64"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1B8C3792">
      <w:numFmt w:val="bullet"/>
      <w:lvlText w:val="•"/>
      <w:lvlJc w:val="left"/>
      <w:pPr>
        <w:ind w:left="6942" w:hanging="245"/>
      </w:pPr>
      <w:rPr>
        <w:rFonts w:hint="default"/>
      </w:rPr>
    </w:lvl>
    <w:lvl w:ilvl="8" w:tplc="639E1598">
      <w:numFmt w:val="bullet"/>
      <w:lvlText w:val="•"/>
      <w:lvlJc w:val="left"/>
      <w:pPr>
        <w:ind w:left="7917" w:hanging="24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DG0MLM0MjY0MTBX0lEKTi0uzszPAykwqwUAQCjtJSwAAAA="/>
  </w:docVars>
  <w:rsids>
    <w:rsidRoot w:val="0042229B"/>
    <w:rsid w:val="00054691"/>
    <w:rsid w:val="00137197"/>
    <w:rsid w:val="0042229B"/>
    <w:rsid w:val="00423702"/>
    <w:rsid w:val="0043167C"/>
    <w:rsid w:val="005C360D"/>
    <w:rsid w:val="0060234E"/>
    <w:rsid w:val="00603ECD"/>
    <w:rsid w:val="006825A3"/>
    <w:rsid w:val="00AB38C0"/>
    <w:rsid w:val="00BF7AF7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D676"/>
  <w15:docId w15:val="{4190DC01-7947-4A5D-8B63-0A71F08E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0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ListParagraph4">
    <w:name w:val="P68B1DB1-ListParagraph4"/>
    <w:basedOn w:val="ListeParagraf"/>
    <w:rPr>
      <w:color w:val="29333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ULAŞAN; AYLIN CAN</dc:creator>
  <cp:lastModifiedBy>Şebnem GÜNGÖR</cp:lastModifiedBy>
  <cp:revision>2</cp:revision>
  <dcterms:created xsi:type="dcterms:W3CDTF">2021-10-20T10:15:00Z</dcterms:created>
  <dcterms:modified xsi:type="dcterms:W3CDTF">2021-10-20T10:15:00Z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2021-06-14T00:00:00Z</vt:filetime>
  </property>
</Properties>
</file>