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0E4E6" w14:textId="54042F75" w:rsidR="009858AB" w:rsidRPr="00792171" w:rsidRDefault="005E2260" w:rsidP="00AB5BCF">
      <w:pPr>
        <w:pStyle w:val="Balk1"/>
        <w:spacing w:before="76" w:line="276" w:lineRule="auto"/>
        <w:ind w:left="4780" w:right="4073"/>
        <w:jc w:val="center"/>
        <w:rPr>
          <w:sz w:val="24"/>
          <w:szCs w:val="24"/>
        </w:rPr>
      </w:pPr>
      <w:r w:rsidRPr="00792171">
        <w:rPr>
          <w:sz w:val="24"/>
          <w:szCs w:val="24"/>
        </w:rPr>
        <w:t>T.C.</w:t>
      </w:r>
    </w:p>
    <w:p w14:paraId="55A0E46E" w14:textId="77777777" w:rsidR="00B43400" w:rsidRPr="00792171" w:rsidRDefault="005E2260" w:rsidP="00AB5BCF">
      <w:pPr>
        <w:pStyle w:val="P68B1DB1-Normal1"/>
        <w:spacing w:before="1" w:line="276" w:lineRule="auto"/>
        <w:ind w:left="2644" w:right="1921" w:firstLine="429"/>
        <w:jc w:val="center"/>
        <w:rPr>
          <w:sz w:val="24"/>
          <w:szCs w:val="24"/>
        </w:rPr>
      </w:pPr>
      <w:r w:rsidRPr="00792171">
        <w:rPr>
          <w:sz w:val="24"/>
          <w:szCs w:val="24"/>
        </w:rPr>
        <w:t xml:space="preserve">ISTANBUL MEDIPOL UNIVERSITY </w:t>
      </w:r>
    </w:p>
    <w:p w14:paraId="71ECCE8D" w14:textId="77777777" w:rsidR="00B43400" w:rsidRPr="00792171" w:rsidRDefault="00B43400" w:rsidP="00AB5BCF">
      <w:pPr>
        <w:pStyle w:val="P68B1DB1-Normal1"/>
        <w:spacing w:before="1" w:line="276" w:lineRule="auto"/>
        <w:ind w:left="2644" w:right="1921" w:firstLine="429"/>
        <w:jc w:val="center"/>
        <w:rPr>
          <w:sz w:val="24"/>
          <w:szCs w:val="24"/>
        </w:rPr>
      </w:pPr>
    </w:p>
    <w:p w14:paraId="0360E4E7" w14:textId="18683CAF" w:rsidR="009858AB" w:rsidRPr="00792171" w:rsidRDefault="005E2260" w:rsidP="00AB5BCF">
      <w:pPr>
        <w:pStyle w:val="P68B1DB1-Normal1"/>
        <w:spacing w:before="1" w:line="276" w:lineRule="auto"/>
        <w:ind w:left="2644" w:right="1921" w:firstLine="429"/>
        <w:jc w:val="center"/>
        <w:rPr>
          <w:sz w:val="24"/>
          <w:szCs w:val="24"/>
        </w:rPr>
      </w:pPr>
      <w:r w:rsidRPr="00792171">
        <w:rPr>
          <w:sz w:val="24"/>
          <w:szCs w:val="24"/>
        </w:rPr>
        <w:t>MEASUREMENT AND EVALUATION INSTRUCTION*</w:t>
      </w:r>
    </w:p>
    <w:p w14:paraId="0360E4E8" w14:textId="77777777" w:rsidR="009858AB" w:rsidRPr="00792171" w:rsidRDefault="009858AB">
      <w:pPr>
        <w:pStyle w:val="GvdeMetni"/>
        <w:rPr>
          <w:b/>
          <w:sz w:val="24"/>
          <w:szCs w:val="24"/>
        </w:rPr>
      </w:pPr>
    </w:p>
    <w:p w14:paraId="0360E4E9" w14:textId="1DC37A1B" w:rsidR="009858AB" w:rsidRPr="00792171" w:rsidRDefault="00B43400" w:rsidP="00AB5BCF">
      <w:pPr>
        <w:pStyle w:val="P68B1DB1-Normal1"/>
        <w:spacing w:line="252" w:lineRule="exact"/>
        <w:ind w:left="824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Aim</w:t>
      </w:r>
      <w:proofErr w:type="spellEnd"/>
    </w:p>
    <w:p w14:paraId="0360E4EA" w14:textId="03D05D9B" w:rsidR="009858AB" w:rsidRPr="00792171" w:rsidRDefault="005E2260">
      <w:pPr>
        <w:pStyle w:val="GvdeMetni"/>
        <w:ind w:left="116" w:right="113" w:firstLine="707"/>
        <w:jc w:val="both"/>
        <w:rPr>
          <w:sz w:val="24"/>
          <w:szCs w:val="24"/>
        </w:rPr>
      </w:pPr>
      <w:r w:rsidRPr="00792171">
        <w:rPr>
          <w:b/>
          <w:sz w:val="24"/>
          <w:szCs w:val="24"/>
        </w:rPr>
        <w:t>ARTICLE 1</w:t>
      </w:r>
      <w:r w:rsidRPr="00792171">
        <w:rPr>
          <w:sz w:val="24"/>
          <w:szCs w:val="24"/>
        </w:rPr>
        <w:t xml:space="preserve">- (1)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B43400" w:rsidRPr="00792171">
        <w:rPr>
          <w:sz w:val="24"/>
          <w:szCs w:val="24"/>
        </w:rPr>
        <w:t>aim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instruction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determine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principles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regarding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studying</w:t>
      </w:r>
      <w:proofErr w:type="spellEnd"/>
      <w:r w:rsidRPr="00792171">
        <w:rPr>
          <w:sz w:val="24"/>
          <w:szCs w:val="24"/>
        </w:rPr>
        <w:t xml:space="preserve"> at </w:t>
      </w:r>
      <w:proofErr w:type="spellStart"/>
      <w:r w:rsidRPr="00792171">
        <w:rPr>
          <w:sz w:val="24"/>
          <w:szCs w:val="24"/>
        </w:rPr>
        <w:t>Istanbul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Medipol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vocational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school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college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faculties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institutes</w:t>
      </w:r>
      <w:proofErr w:type="spellEnd"/>
      <w:r w:rsidRPr="00792171">
        <w:rPr>
          <w:sz w:val="24"/>
          <w:szCs w:val="24"/>
        </w:rPr>
        <w:t>.</w:t>
      </w:r>
    </w:p>
    <w:p w14:paraId="0360E4EB" w14:textId="77777777" w:rsidR="009858AB" w:rsidRPr="00792171" w:rsidRDefault="009858AB">
      <w:pPr>
        <w:pStyle w:val="GvdeMetni"/>
        <w:spacing w:before="1"/>
        <w:rPr>
          <w:sz w:val="24"/>
          <w:szCs w:val="24"/>
        </w:rPr>
      </w:pPr>
    </w:p>
    <w:p w14:paraId="0360E4EC" w14:textId="77777777" w:rsidR="009858AB" w:rsidRPr="00792171" w:rsidRDefault="005E2260" w:rsidP="00AB5BCF">
      <w:pPr>
        <w:pStyle w:val="Balk1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Scope</w:t>
      </w:r>
      <w:proofErr w:type="spellEnd"/>
    </w:p>
    <w:p w14:paraId="0360E4ED" w14:textId="3A433779" w:rsidR="009858AB" w:rsidRPr="00792171" w:rsidRDefault="005E2260">
      <w:pPr>
        <w:pStyle w:val="GvdeMetni"/>
        <w:ind w:left="116" w:right="114" w:firstLine="707"/>
        <w:jc w:val="both"/>
        <w:rPr>
          <w:sz w:val="24"/>
          <w:szCs w:val="24"/>
        </w:rPr>
      </w:pPr>
      <w:r w:rsidRPr="00792171">
        <w:rPr>
          <w:b/>
          <w:sz w:val="24"/>
          <w:szCs w:val="24"/>
        </w:rPr>
        <w:t>ARTICLE 2</w:t>
      </w:r>
      <w:r w:rsidRPr="00792171">
        <w:rPr>
          <w:sz w:val="24"/>
          <w:szCs w:val="24"/>
        </w:rPr>
        <w:t xml:space="preserve">- (1)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instruction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covers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provisions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regarding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6179F2" w:rsidRPr="00792171">
        <w:rPr>
          <w:sz w:val="24"/>
          <w:szCs w:val="24"/>
        </w:rPr>
        <w:t>determining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offered</w:t>
      </w:r>
      <w:proofErr w:type="spellEnd"/>
      <w:r w:rsidRPr="00792171">
        <w:rPr>
          <w:sz w:val="24"/>
          <w:szCs w:val="24"/>
        </w:rPr>
        <w:t xml:space="preserve"> at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schools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faculties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institutes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Istanbul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Medipol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>.</w:t>
      </w:r>
    </w:p>
    <w:p w14:paraId="0360E4EE" w14:textId="77777777" w:rsidR="009858AB" w:rsidRPr="00792171" w:rsidRDefault="009858AB">
      <w:pPr>
        <w:pStyle w:val="GvdeMetni"/>
        <w:spacing w:before="2"/>
        <w:rPr>
          <w:sz w:val="24"/>
          <w:szCs w:val="24"/>
        </w:rPr>
      </w:pPr>
    </w:p>
    <w:p w14:paraId="0360E4EF" w14:textId="112EBCF8" w:rsidR="009858AB" w:rsidRPr="00792171" w:rsidRDefault="005E2260" w:rsidP="00AB5BCF">
      <w:pPr>
        <w:pStyle w:val="Balk1"/>
        <w:jc w:val="center"/>
        <w:rPr>
          <w:sz w:val="24"/>
          <w:szCs w:val="24"/>
        </w:rPr>
      </w:pPr>
      <w:r w:rsidRPr="00792171">
        <w:rPr>
          <w:sz w:val="24"/>
          <w:szCs w:val="24"/>
        </w:rPr>
        <w:t>Bas</w:t>
      </w:r>
      <w:r w:rsidR="00F60F65">
        <w:rPr>
          <w:sz w:val="24"/>
          <w:szCs w:val="24"/>
        </w:rPr>
        <w:t>e</w:t>
      </w:r>
    </w:p>
    <w:p w14:paraId="0360E4F0" w14:textId="11DF0E07" w:rsidR="009858AB" w:rsidRPr="00792171" w:rsidRDefault="005E2260">
      <w:pPr>
        <w:pStyle w:val="GvdeMetni"/>
        <w:ind w:left="116" w:right="114" w:firstLine="707"/>
        <w:jc w:val="both"/>
        <w:rPr>
          <w:sz w:val="24"/>
          <w:szCs w:val="24"/>
        </w:rPr>
      </w:pPr>
      <w:r w:rsidRPr="00792171">
        <w:rPr>
          <w:b/>
          <w:sz w:val="24"/>
          <w:szCs w:val="24"/>
        </w:rPr>
        <w:t xml:space="preserve">ARTICLE 3- </w:t>
      </w:r>
      <w:r w:rsidRPr="00792171">
        <w:rPr>
          <w:sz w:val="24"/>
          <w:szCs w:val="24"/>
        </w:rPr>
        <w:t xml:space="preserve">(1)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instruction</w:t>
      </w:r>
      <w:proofErr w:type="spellEnd"/>
      <w:r w:rsidRPr="00792171">
        <w:rPr>
          <w:sz w:val="24"/>
          <w:szCs w:val="24"/>
        </w:rPr>
        <w:t xml:space="preserve"> has </w:t>
      </w:r>
      <w:proofErr w:type="spellStart"/>
      <w:r w:rsidRPr="00792171">
        <w:rPr>
          <w:sz w:val="24"/>
          <w:szCs w:val="24"/>
        </w:rPr>
        <w:t>been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prepared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6179F2" w:rsidRPr="00792171">
        <w:rPr>
          <w:sz w:val="24"/>
          <w:szCs w:val="24"/>
        </w:rPr>
        <w:t>based</w:t>
      </w:r>
      <w:proofErr w:type="spellEnd"/>
      <w:r w:rsidR="006179F2" w:rsidRPr="00792171">
        <w:rPr>
          <w:sz w:val="24"/>
          <w:szCs w:val="24"/>
        </w:rPr>
        <w:t xml:space="preserve"> on</w:t>
      </w:r>
      <w:r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Istanbul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Medipol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University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Associate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and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Undergraduate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Education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Regulations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Istanbul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Medipol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84565D" w:rsidRPr="00792171">
        <w:rPr>
          <w:sz w:val="24"/>
          <w:szCs w:val="24"/>
        </w:rPr>
        <w:t>Graduate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Education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Regulations</w:t>
      </w:r>
      <w:proofErr w:type="spellEnd"/>
      <w:r w:rsidRPr="00792171">
        <w:rPr>
          <w:sz w:val="24"/>
          <w:szCs w:val="24"/>
        </w:rPr>
        <w:t>.</w:t>
      </w:r>
    </w:p>
    <w:p w14:paraId="0360E4F1" w14:textId="77777777" w:rsidR="009858AB" w:rsidRPr="00792171" w:rsidRDefault="009858AB">
      <w:pPr>
        <w:pStyle w:val="GvdeMetni"/>
        <w:spacing w:before="1"/>
        <w:rPr>
          <w:sz w:val="24"/>
          <w:szCs w:val="24"/>
        </w:rPr>
      </w:pPr>
    </w:p>
    <w:p w14:paraId="0360E4F2" w14:textId="77777777" w:rsidR="009858AB" w:rsidRPr="00792171" w:rsidRDefault="005E2260" w:rsidP="00AB5BCF">
      <w:pPr>
        <w:pStyle w:val="Balk1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Definitions</w:t>
      </w:r>
      <w:proofErr w:type="spellEnd"/>
    </w:p>
    <w:p w14:paraId="0360E4F3" w14:textId="6E4B3F96" w:rsidR="009858AB" w:rsidRPr="00792171" w:rsidRDefault="005A03A3">
      <w:pPr>
        <w:spacing w:line="252" w:lineRule="exact"/>
        <w:ind w:left="824"/>
        <w:rPr>
          <w:sz w:val="24"/>
          <w:szCs w:val="24"/>
        </w:rPr>
      </w:pPr>
      <w:r w:rsidRPr="00792171">
        <w:rPr>
          <w:b/>
          <w:sz w:val="24"/>
          <w:szCs w:val="24"/>
        </w:rPr>
        <w:t>ARTICLE</w:t>
      </w:r>
      <w:r w:rsidR="005E2260" w:rsidRPr="00792171">
        <w:rPr>
          <w:b/>
          <w:sz w:val="24"/>
          <w:szCs w:val="24"/>
        </w:rPr>
        <w:t xml:space="preserve"> 4- </w:t>
      </w:r>
      <w:r w:rsidR="005E2260" w:rsidRPr="00792171">
        <w:rPr>
          <w:sz w:val="24"/>
          <w:szCs w:val="24"/>
        </w:rPr>
        <w:t>(1</w:t>
      </w:r>
      <w:proofErr w:type="gramStart"/>
      <w:r w:rsidR="005E2260" w:rsidRPr="00792171">
        <w:rPr>
          <w:sz w:val="24"/>
          <w:szCs w:val="24"/>
        </w:rPr>
        <w:t xml:space="preserve">)  </w:t>
      </w:r>
      <w:proofErr w:type="spellStart"/>
      <w:r w:rsidRPr="00792171">
        <w:rPr>
          <w:sz w:val="24"/>
          <w:szCs w:val="24"/>
        </w:rPr>
        <w:t>The</w:t>
      </w:r>
      <w:proofErr w:type="spellEnd"/>
      <w:proofErr w:type="gram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definitions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</w:t>
      </w:r>
      <w:r w:rsidR="00CA459E" w:rsidRPr="00792171">
        <w:rPr>
          <w:sz w:val="24"/>
          <w:szCs w:val="24"/>
        </w:rPr>
        <w:t>his</w:t>
      </w:r>
      <w:proofErr w:type="spellEnd"/>
      <w:r w:rsidR="00CA459E" w:rsidRPr="00792171">
        <w:rPr>
          <w:sz w:val="24"/>
          <w:szCs w:val="24"/>
        </w:rPr>
        <w:t xml:space="preserve"> </w:t>
      </w:r>
      <w:proofErr w:type="spellStart"/>
      <w:r w:rsidR="00CA459E" w:rsidRPr="00792171">
        <w:rPr>
          <w:sz w:val="24"/>
          <w:szCs w:val="24"/>
        </w:rPr>
        <w:t>instruction</w:t>
      </w:r>
      <w:proofErr w:type="spellEnd"/>
      <w:r w:rsidR="00CA459E" w:rsidRPr="00792171">
        <w:rPr>
          <w:sz w:val="24"/>
          <w:szCs w:val="24"/>
        </w:rPr>
        <w:t xml:space="preserve"> </w:t>
      </w:r>
      <w:proofErr w:type="spellStart"/>
      <w:r w:rsidR="00CA459E" w:rsidRPr="00792171">
        <w:rPr>
          <w:sz w:val="24"/>
          <w:szCs w:val="24"/>
        </w:rPr>
        <w:t>refer</w:t>
      </w:r>
      <w:proofErr w:type="spellEnd"/>
      <w:r w:rsidR="00CA459E" w:rsidRPr="00792171">
        <w:rPr>
          <w:sz w:val="24"/>
          <w:szCs w:val="24"/>
        </w:rPr>
        <w:t xml:space="preserve"> </w:t>
      </w:r>
      <w:proofErr w:type="spellStart"/>
      <w:r w:rsidR="00CA459E" w:rsidRPr="00792171">
        <w:rPr>
          <w:sz w:val="24"/>
          <w:szCs w:val="24"/>
        </w:rPr>
        <w:t>to</w:t>
      </w:r>
      <w:proofErr w:type="spellEnd"/>
      <w:r w:rsidR="00CA459E" w:rsidRPr="00792171">
        <w:rPr>
          <w:sz w:val="24"/>
          <w:szCs w:val="24"/>
        </w:rPr>
        <w:t>;</w:t>
      </w:r>
    </w:p>
    <w:p w14:paraId="0360E4F4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4F5" w14:textId="526221CA" w:rsidR="009858AB" w:rsidRPr="00792171" w:rsidRDefault="005E2260">
      <w:pPr>
        <w:pStyle w:val="ListeParagraf"/>
        <w:numPr>
          <w:ilvl w:val="0"/>
          <w:numId w:val="4"/>
        </w:numPr>
        <w:tabs>
          <w:tab w:val="left" w:pos="1074"/>
        </w:tabs>
        <w:ind w:right="113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determines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taking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account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other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subjected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84565D" w:rsidRPr="00792171">
        <w:rPr>
          <w:sz w:val="24"/>
          <w:szCs w:val="24"/>
        </w:rPr>
        <w:t>exact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measurement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procedures</w:t>
      </w:r>
      <w:proofErr w:type="spellEnd"/>
      <w:r w:rsidRPr="00792171">
        <w:rPr>
          <w:sz w:val="24"/>
          <w:szCs w:val="24"/>
        </w:rPr>
        <w:t>,</w:t>
      </w:r>
    </w:p>
    <w:p w14:paraId="0360E4F6" w14:textId="77777777" w:rsidR="009858AB" w:rsidRPr="00792171" w:rsidRDefault="005E2260">
      <w:pPr>
        <w:pStyle w:val="ListeParagraf"/>
        <w:numPr>
          <w:ilvl w:val="0"/>
          <w:numId w:val="4"/>
        </w:numPr>
        <w:tabs>
          <w:tab w:val="left" w:pos="1100"/>
        </w:tabs>
        <w:spacing w:before="1"/>
        <w:ind w:right="113" w:firstLine="708"/>
        <w:jc w:val="both"/>
        <w:rPr>
          <w:sz w:val="24"/>
          <w:szCs w:val="24"/>
        </w:rPr>
      </w:pPr>
      <w:r w:rsidRPr="00792171">
        <w:rPr>
          <w:sz w:val="24"/>
          <w:szCs w:val="24"/>
        </w:rPr>
        <w:t xml:space="preserve">Limit </w:t>
      </w:r>
      <w:proofErr w:type="spellStart"/>
      <w:r w:rsidRPr="00792171">
        <w:rPr>
          <w:sz w:val="24"/>
          <w:szCs w:val="24"/>
        </w:rPr>
        <w:t>for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adding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lower</w:t>
      </w:r>
      <w:proofErr w:type="spellEnd"/>
      <w:r w:rsidRPr="00792171">
        <w:rPr>
          <w:sz w:val="24"/>
          <w:szCs w:val="24"/>
        </w:rPr>
        <w:t xml:space="preserve"> limit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taken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out</w:t>
      </w:r>
      <w:proofErr w:type="spellEnd"/>
      <w:r w:rsidRPr="00792171">
        <w:rPr>
          <w:sz w:val="24"/>
          <w:szCs w:val="24"/>
        </w:rPr>
        <w:t xml:space="preserve"> of 100,</w:t>
      </w:r>
    </w:p>
    <w:p w14:paraId="0360E4F7" w14:textId="5D859F83" w:rsidR="009858AB" w:rsidRPr="00792171" w:rsidRDefault="005E2260">
      <w:pPr>
        <w:pStyle w:val="ListeParagraf"/>
        <w:numPr>
          <w:ilvl w:val="0"/>
          <w:numId w:val="4"/>
        </w:numPr>
        <w:tabs>
          <w:tab w:val="left" w:pos="1136"/>
        </w:tabs>
        <w:spacing w:before="1"/>
        <w:ind w:right="115" w:firstLine="708"/>
        <w:jc w:val="both"/>
        <w:rPr>
          <w:sz w:val="24"/>
          <w:szCs w:val="24"/>
        </w:rPr>
      </w:pPr>
      <w:r w:rsidRPr="00792171">
        <w:rPr>
          <w:sz w:val="24"/>
          <w:szCs w:val="24"/>
        </w:rPr>
        <w:t xml:space="preserve">Evaluation: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process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making</w:t>
      </w:r>
      <w:proofErr w:type="spellEnd"/>
      <w:r w:rsidRPr="00792171">
        <w:rPr>
          <w:sz w:val="24"/>
          <w:szCs w:val="24"/>
        </w:rPr>
        <w:t xml:space="preserve"> a </w:t>
      </w:r>
      <w:proofErr w:type="spellStart"/>
      <w:r w:rsidRPr="00792171">
        <w:rPr>
          <w:sz w:val="24"/>
          <w:szCs w:val="24"/>
        </w:rPr>
        <w:t>value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judgment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decision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comparing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a </w:t>
      </w:r>
      <w:proofErr w:type="spellStart"/>
      <w:r w:rsidRPr="00792171">
        <w:rPr>
          <w:sz w:val="24"/>
          <w:szCs w:val="24"/>
        </w:rPr>
        <w:t>criterion</w:t>
      </w:r>
      <w:proofErr w:type="spellEnd"/>
      <w:r w:rsidRPr="00792171">
        <w:rPr>
          <w:sz w:val="24"/>
          <w:szCs w:val="24"/>
        </w:rPr>
        <w:t xml:space="preserve"> (</w:t>
      </w:r>
      <w:proofErr w:type="spellStart"/>
      <w:r w:rsidRPr="00792171">
        <w:rPr>
          <w:sz w:val="24"/>
          <w:szCs w:val="24"/>
        </w:rPr>
        <w:t>relative-absolute</w:t>
      </w:r>
      <w:proofErr w:type="spellEnd"/>
      <w:r w:rsidRPr="00792171">
        <w:rPr>
          <w:sz w:val="24"/>
          <w:szCs w:val="24"/>
        </w:rPr>
        <w:t>),</w:t>
      </w:r>
    </w:p>
    <w:p w14:paraId="0360E4F8" w14:textId="77777777" w:rsidR="009858AB" w:rsidRPr="00792171" w:rsidRDefault="005E2260">
      <w:pPr>
        <w:pStyle w:val="ListeParagraf"/>
        <w:numPr>
          <w:ilvl w:val="0"/>
          <w:numId w:val="4"/>
        </w:numPr>
        <w:tabs>
          <w:tab w:val="left" w:pos="1158"/>
        </w:tabs>
        <w:ind w:right="112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Absolute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applied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based</w:t>
      </w:r>
      <w:proofErr w:type="spellEnd"/>
      <w:r w:rsidRPr="00792171">
        <w:rPr>
          <w:sz w:val="24"/>
          <w:szCs w:val="24"/>
        </w:rPr>
        <w:t xml:space="preserve"> on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use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midterm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exams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homework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replaces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midterm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exam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applied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studies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group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work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similar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studies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during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semester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use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general </w:t>
      </w:r>
      <w:proofErr w:type="spellStart"/>
      <w:r w:rsidRPr="00792171">
        <w:rPr>
          <w:sz w:val="24"/>
          <w:szCs w:val="24"/>
        </w:rPr>
        <w:t>exam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evaluating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situation</w:t>
      </w:r>
      <w:proofErr w:type="spellEnd"/>
      <w:r w:rsidRPr="00792171">
        <w:rPr>
          <w:sz w:val="24"/>
          <w:szCs w:val="24"/>
        </w:rPr>
        <w:t>,</w:t>
      </w:r>
    </w:p>
    <w:p w14:paraId="0360E4F9" w14:textId="77777777" w:rsidR="009858AB" w:rsidRPr="00792171" w:rsidRDefault="005E2260">
      <w:pPr>
        <w:pStyle w:val="ListeParagraf"/>
        <w:numPr>
          <w:ilvl w:val="0"/>
          <w:numId w:val="4"/>
        </w:numPr>
        <w:tabs>
          <w:tab w:val="left" w:pos="1072"/>
        </w:tabs>
        <w:ind w:right="122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Measuring</w:t>
      </w:r>
      <w:proofErr w:type="spellEnd"/>
      <w:r w:rsidRPr="00792171">
        <w:rPr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It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means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observing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lesson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determining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results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observation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numbers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number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symbols</w:t>
      </w:r>
      <w:proofErr w:type="spellEnd"/>
      <w:r w:rsidRPr="00792171">
        <w:rPr>
          <w:sz w:val="24"/>
          <w:szCs w:val="24"/>
        </w:rPr>
        <w:t>.</w:t>
      </w:r>
    </w:p>
    <w:p w14:paraId="0360E4FA" w14:textId="77777777" w:rsidR="009858AB" w:rsidRPr="00792171" w:rsidRDefault="009858AB">
      <w:pPr>
        <w:pStyle w:val="GvdeMetni"/>
        <w:spacing w:before="11"/>
        <w:rPr>
          <w:sz w:val="24"/>
          <w:szCs w:val="24"/>
        </w:rPr>
      </w:pPr>
    </w:p>
    <w:p w14:paraId="0360E4FB" w14:textId="77777777" w:rsidR="009858AB" w:rsidRPr="00792171" w:rsidRDefault="005E2260" w:rsidP="00AB5BCF">
      <w:pPr>
        <w:pStyle w:val="Balk1"/>
        <w:spacing w:line="240" w:lineRule="auto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Measurement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Evaluation</w:t>
      </w:r>
    </w:p>
    <w:p w14:paraId="0360E4FC" w14:textId="160CAE50" w:rsidR="009858AB" w:rsidRPr="00792171" w:rsidRDefault="005E2260">
      <w:pPr>
        <w:pStyle w:val="GvdeMetni"/>
        <w:spacing w:before="1"/>
        <w:ind w:left="116" w:right="115" w:firstLine="707"/>
        <w:jc w:val="both"/>
        <w:rPr>
          <w:sz w:val="24"/>
          <w:szCs w:val="24"/>
        </w:rPr>
      </w:pPr>
      <w:r w:rsidRPr="00792171">
        <w:rPr>
          <w:b/>
          <w:sz w:val="24"/>
          <w:szCs w:val="24"/>
        </w:rPr>
        <w:t xml:space="preserve">ARTICLE 5- </w:t>
      </w:r>
      <w:r w:rsidRPr="00792171">
        <w:rPr>
          <w:sz w:val="24"/>
          <w:szCs w:val="24"/>
        </w:rPr>
        <w:t xml:space="preserve">(1)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determined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accordance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28th </w:t>
      </w:r>
      <w:proofErr w:type="spellStart"/>
      <w:r w:rsidRPr="00792171">
        <w:rPr>
          <w:sz w:val="24"/>
          <w:szCs w:val="24"/>
        </w:rPr>
        <w:t>article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Istanbul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Medipol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University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Associate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and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Undergraduate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Education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="008711AE" w:rsidRPr="00792171">
        <w:rPr>
          <w:sz w:val="24"/>
          <w:szCs w:val="24"/>
        </w:rPr>
        <w:t>Regulations</w:t>
      </w:r>
      <w:proofErr w:type="spellEnd"/>
      <w:r w:rsidR="008711AE"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47th </w:t>
      </w:r>
      <w:proofErr w:type="spellStart"/>
      <w:r w:rsidRPr="00792171">
        <w:rPr>
          <w:sz w:val="24"/>
          <w:szCs w:val="24"/>
        </w:rPr>
        <w:t>article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Istanbul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Medipol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Graduate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Education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</w:t>
      </w:r>
      <w:r w:rsidR="006179F2" w:rsidRPr="00792171">
        <w:rPr>
          <w:sz w:val="24"/>
          <w:szCs w:val="24"/>
        </w:rPr>
        <w:t>d</w:t>
      </w:r>
      <w:proofErr w:type="spellEnd"/>
      <w:r w:rsidR="006179F2"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Regulations</w:t>
      </w:r>
      <w:proofErr w:type="spellEnd"/>
      <w:r w:rsidRPr="00792171">
        <w:rPr>
          <w:sz w:val="24"/>
          <w:szCs w:val="24"/>
        </w:rPr>
        <w:t>.</w:t>
      </w:r>
    </w:p>
    <w:p w14:paraId="0360E4FD" w14:textId="3CE54C6F" w:rsidR="009858AB" w:rsidRPr="00792171" w:rsidRDefault="005E2260">
      <w:pPr>
        <w:pStyle w:val="ListeParagraf"/>
        <w:numPr>
          <w:ilvl w:val="0"/>
          <w:numId w:val="3"/>
        </w:numPr>
        <w:tabs>
          <w:tab w:val="left" w:pos="1072"/>
        </w:tabs>
        <w:ind w:right="111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In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line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decision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taken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relevant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institute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faculty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college</w:t>
      </w:r>
      <w:proofErr w:type="spellEnd"/>
      <w:r w:rsidRPr="00792171">
        <w:rPr>
          <w:sz w:val="24"/>
          <w:szCs w:val="24"/>
        </w:rPr>
        <w:t xml:space="preserve"> board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after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approval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proofErr w:type="gramStart"/>
      <w:r w:rsidRPr="00792171">
        <w:rPr>
          <w:sz w:val="24"/>
          <w:szCs w:val="24"/>
        </w:rPr>
        <w:t>Senate</w:t>
      </w:r>
      <w:proofErr w:type="spellEnd"/>
      <w:proofErr w:type="gramEnd"/>
      <w:r w:rsidRPr="00792171">
        <w:rPr>
          <w:sz w:val="24"/>
          <w:szCs w:val="24"/>
        </w:rPr>
        <w:t xml:space="preserve">, </w:t>
      </w:r>
      <w:r w:rsidR="006179F2" w:rsidRPr="00792171">
        <w:rPr>
          <w:sz w:val="24"/>
          <w:szCs w:val="24"/>
        </w:rPr>
        <w:t xml:space="preserve">a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or</w:t>
      </w:r>
      <w:proofErr w:type="spellEnd"/>
      <w:r w:rsidRPr="00792171">
        <w:rPr>
          <w:sz w:val="24"/>
          <w:szCs w:val="24"/>
        </w:rPr>
        <w:t xml:space="preserve"> </w:t>
      </w:r>
      <w:r w:rsidR="006179F2" w:rsidRPr="00792171">
        <w:rPr>
          <w:sz w:val="24"/>
          <w:szCs w:val="24"/>
        </w:rPr>
        <w:t xml:space="preserve">an </w:t>
      </w:r>
      <w:proofErr w:type="spellStart"/>
      <w:r w:rsidRPr="00792171">
        <w:rPr>
          <w:sz w:val="24"/>
          <w:szCs w:val="24"/>
        </w:rPr>
        <w:t>absolute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applied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present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together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taught</w:t>
      </w:r>
      <w:proofErr w:type="spellEnd"/>
      <w:r w:rsidRPr="00792171">
        <w:rPr>
          <w:sz w:val="24"/>
          <w:szCs w:val="24"/>
        </w:rPr>
        <w:t xml:space="preserve"> at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beginning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academic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year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approval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proofErr w:type="gramStart"/>
      <w:r w:rsidRPr="00792171">
        <w:rPr>
          <w:sz w:val="24"/>
          <w:szCs w:val="24"/>
        </w:rPr>
        <w:t>Senate</w:t>
      </w:r>
      <w:proofErr w:type="spellEnd"/>
      <w:proofErr w:type="gramEnd"/>
      <w:r w:rsidRPr="00792171">
        <w:rPr>
          <w:sz w:val="24"/>
          <w:szCs w:val="24"/>
        </w:rPr>
        <w:t>.</w:t>
      </w:r>
    </w:p>
    <w:p w14:paraId="0360E4FE" w14:textId="77777777" w:rsidR="009858AB" w:rsidRPr="00792171" w:rsidRDefault="009858AB" w:rsidP="00AB5BCF">
      <w:pPr>
        <w:pStyle w:val="GvdeMetni"/>
        <w:spacing w:before="1"/>
        <w:jc w:val="center"/>
        <w:rPr>
          <w:sz w:val="24"/>
          <w:szCs w:val="24"/>
        </w:rPr>
      </w:pPr>
    </w:p>
    <w:p w14:paraId="0360E4FF" w14:textId="77777777" w:rsidR="009858AB" w:rsidRPr="00792171" w:rsidRDefault="005E2260" w:rsidP="00AB5BCF">
      <w:pPr>
        <w:pStyle w:val="Balk1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Absolute</w:t>
      </w:r>
      <w:proofErr w:type="spellEnd"/>
      <w:r w:rsidRPr="00792171">
        <w:rPr>
          <w:sz w:val="24"/>
          <w:szCs w:val="24"/>
        </w:rPr>
        <w:t xml:space="preserve"> Evaluation</w:t>
      </w:r>
    </w:p>
    <w:p w14:paraId="0360E500" w14:textId="77777777" w:rsidR="009858AB" w:rsidRPr="00792171" w:rsidRDefault="005E2260">
      <w:pPr>
        <w:pStyle w:val="GvdeMetni"/>
        <w:ind w:left="116" w:right="113" w:firstLine="707"/>
        <w:jc w:val="both"/>
        <w:rPr>
          <w:sz w:val="24"/>
          <w:szCs w:val="24"/>
        </w:rPr>
      </w:pPr>
      <w:r w:rsidRPr="00792171">
        <w:rPr>
          <w:b/>
          <w:sz w:val="24"/>
          <w:szCs w:val="24"/>
        </w:rPr>
        <w:t xml:space="preserve">ARTICLE 6- </w:t>
      </w:r>
      <w:r w:rsidRPr="00792171">
        <w:rPr>
          <w:sz w:val="24"/>
          <w:szCs w:val="24"/>
        </w:rPr>
        <w:t xml:space="preserve">(1) </w:t>
      </w:r>
      <w:proofErr w:type="spellStart"/>
      <w:r w:rsidRPr="00792171">
        <w:rPr>
          <w:sz w:val="24"/>
          <w:szCs w:val="24"/>
        </w:rPr>
        <w:t>In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absolute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method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</w:t>
      </w:r>
      <w:r w:rsidRPr="00792171">
        <w:rPr>
          <w:sz w:val="24"/>
          <w:szCs w:val="24"/>
        </w:rPr>
        <w:lastRenderedPageBreak/>
        <w:t xml:space="preserve">is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evaluated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out</w:t>
      </w:r>
      <w:proofErr w:type="spellEnd"/>
      <w:r w:rsidRPr="00792171">
        <w:rPr>
          <w:sz w:val="24"/>
          <w:szCs w:val="24"/>
        </w:rPr>
        <w:t xml:space="preserve"> of 100 </w:t>
      </w:r>
      <w:proofErr w:type="spellStart"/>
      <w:r w:rsidRPr="00792171">
        <w:rPr>
          <w:sz w:val="24"/>
          <w:szCs w:val="24"/>
        </w:rPr>
        <w:t>without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further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processing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effect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general </w:t>
      </w:r>
      <w:proofErr w:type="spellStart"/>
      <w:r w:rsidRPr="00792171">
        <w:rPr>
          <w:sz w:val="24"/>
          <w:szCs w:val="24"/>
        </w:rPr>
        <w:t>exam</w:t>
      </w:r>
      <w:proofErr w:type="spellEnd"/>
      <w:r w:rsidRPr="00792171">
        <w:rPr>
          <w:sz w:val="24"/>
          <w:szCs w:val="24"/>
        </w:rPr>
        <w:t xml:space="preserve"> on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determined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relevant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units</w:t>
      </w:r>
      <w:proofErr w:type="spellEnd"/>
      <w:r w:rsidRPr="00792171">
        <w:rPr>
          <w:sz w:val="24"/>
          <w:szCs w:val="24"/>
        </w:rPr>
        <w:t xml:space="preserve"> as minimum 30%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maximum</w:t>
      </w:r>
      <w:proofErr w:type="spellEnd"/>
      <w:r w:rsidRPr="00792171">
        <w:rPr>
          <w:sz w:val="24"/>
          <w:szCs w:val="24"/>
        </w:rPr>
        <w:t xml:space="preserve"> 70%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used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after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approval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proofErr w:type="gramStart"/>
      <w:r w:rsidRPr="00792171">
        <w:rPr>
          <w:sz w:val="24"/>
          <w:szCs w:val="24"/>
        </w:rPr>
        <w:t>Senate</w:t>
      </w:r>
      <w:proofErr w:type="spellEnd"/>
      <w:proofErr w:type="gramEnd"/>
      <w:r w:rsidRPr="00792171">
        <w:rPr>
          <w:sz w:val="24"/>
          <w:szCs w:val="24"/>
        </w:rPr>
        <w:t>.</w:t>
      </w:r>
    </w:p>
    <w:p w14:paraId="0360E501" w14:textId="77777777" w:rsidR="009858AB" w:rsidRPr="00792171" w:rsidRDefault="009858AB">
      <w:pPr>
        <w:pStyle w:val="GvdeMetni"/>
        <w:spacing w:before="10"/>
        <w:rPr>
          <w:sz w:val="24"/>
          <w:szCs w:val="24"/>
        </w:rPr>
      </w:pPr>
    </w:p>
    <w:p w14:paraId="0360E502" w14:textId="77777777" w:rsidR="009858AB" w:rsidRPr="00792171" w:rsidRDefault="005E2260" w:rsidP="00AB5BCF">
      <w:pPr>
        <w:pStyle w:val="Balk1"/>
        <w:spacing w:line="240" w:lineRule="auto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Evaluation </w:t>
      </w:r>
      <w:proofErr w:type="spellStart"/>
      <w:r w:rsidRPr="00792171">
        <w:rPr>
          <w:sz w:val="24"/>
          <w:szCs w:val="24"/>
        </w:rPr>
        <w:t>Practice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Principles</w:t>
      </w:r>
      <w:proofErr w:type="spellEnd"/>
    </w:p>
    <w:p w14:paraId="0360E503" w14:textId="77777777" w:rsidR="009858AB" w:rsidRPr="00792171" w:rsidRDefault="005E2260">
      <w:pPr>
        <w:pStyle w:val="GvdeMetni"/>
        <w:spacing w:before="1" w:line="252" w:lineRule="exact"/>
        <w:ind w:left="824"/>
        <w:rPr>
          <w:sz w:val="24"/>
          <w:szCs w:val="24"/>
        </w:rPr>
      </w:pPr>
      <w:r w:rsidRPr="00792171">
        <w:rPr>
          <w:b/>
          <w:sz w:val="24"/>
          <w:szCs w:val="24"/>
        </w:rPr>
        <w:t xml:space="preserve">ARTICLE 7- </w:t>
      </w:r>
      <w:r w:rsidRPr="00792171">
        <w:rPr>
          <w:sz w:val="24"/>
          <w:szCs w:val="24"/>
        </w:rPr>
        <w:t xml:space="preserve">(1)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application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assessment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subject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certain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conditions</w:t>
      </w:r>
      <w:proofErr w:type="spellEnd"/>
      <w:r w:rsidRPr="00792171">
        <w:rPr>
          <w:sz w:val="24"/>
          <w:szCs w:val="24"/>
        </w:rPr>
        <w:t>.</w:t>
      </w:r>
    </w:p>
    <w:p w14:paraId="0360E504" w14:textId="218C9DFC" w:rsidR="009858AB" w:rsidRPr="00792171" w:rsidRDefault="006179F2">
      <w:pPr>
        <w:pStyle w:val="ListeParagraf"/>
        <w:numPr>
          <w:ilvl w:val="1"/>
          <w:numId w:val="3"/>
        </w:numPr>
        <w:tabs>
          <w:tab w:val="left" w:pos="1070"/>
        </w:tabs>
        <w:ind w:right="115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T</w:t>
      </w:r>
      <w:r w:rsidR="005E2260" w:rsidRPr="00792171">
        <w:rPr>
          <w:sz w:val="24"/>
          <w:szCs w:val="24"/>
        </w:rPr>
        <w:t>o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apply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relative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evaluation</w:t>
      </w:r>
      <w:proofErr w:type="spellEnd"/>
      <w:r w:rsidR="005E2260" w:rsidRPr="00792171">
        <w:rPr>
          <w:sz w:val="24"/>
          <w:szCs w:val="24"/>
        </w:rPr>
        <w:t xml:space="preserve">, at </w:t>
      </w:r>
      <w:proofErr w:type="spellStart"/>
      <w:r w:rsidR="005E2260" w:rsidRPr="00792171">
        <w:rPr>
          <w:sz w:val="24"/>
          <w:szCs w:val="24"/>
        </w:rPr>
        <w:t>least</w:t>
      </w:r>
      <w:proofErr w:type="spellEnd"/>
      <w:r w:rsidR="005E2260" w:rsidRPr="00792171">
        <w:rPr>
          <w:sz w:val="24"/>
          <w:szCs w:val="24"/>
        </w:rPr>
        <w:t xml:space="preserve"> 30 </w:t>
      </w:r>
      <w:proofErr w:type="spellStart"/>
      <w:r w:rsidR="005E2260" w:rsidRPr="00792171">
        <w:rPr>
          <w:sz w:val="24"/>
          <w:szCs w:val="24"/>
        </w:rPr>
        <w:t>students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must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have</w:t>
      </w:r>
      <w:proofErr w:type="spellEnd"/>
      <w:r w:rsidR="005E2260" w:rsidRPr="00792171">
        <w:rPr>
          <w:sz w:val="24"/>
          <w:szCs w:val="24"/>
        </w:rPr>
        <w:t xml:space="preserve"> a </w:t>
      </w:r>
      <w:proofErr w:type="spellStart"/>
      <w:r w:rsidR="005E2260" w:rsidRPr="00792171">
        <w:rPr>
          <w:sz w:val="24"/>
          <w:szCs w:val="24"/>
        </w:rPr>
        <w:t>grade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above</w:t>
      </w:r>
      <w:proofErr w:type="spellEnd"/>
      <w:r w:rsidR="005E2260" w:rsidRPr="00792171">
        <w:rPr>
          <w:sz w:val="24"/>
          <w:szCs w:val="24"/>
        </w:rPr>
        <w:t xml:space="preserve"> 20 </w:t>
      </w:r>
      <w:proofErr w:type="spellStart"/>
      <w:r w:rsidR="005E2260" w:rsidRPr="00792171">
        <w:rPr>
          <w:sz w:val="24"/>
          <w:szCs w:val="24"/>
        </w:rPr>
        <w:t>points</w:t>
      </w:r>
      <w:proofErr w:type="spellEnd"/>
      <w:r w:rsidR="005E2260" w:rsidRPr="00792171">
        <w:rPr>
          <w:sz w:val="24"/>
          <w:szCs w:val="24"/>
        </w:rPr>
        <w:t xml:space="preserve"> in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relevant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course</w:t>
      </w:r>
      <w:proofErr w:type="spellEnd"/>
      <w:r w:rsidR="005E2260" w:rsidRPr="00792171">
        <w:rPr>
          <w:sz w:val="24"/>
          <w:szCs w:val="24"/>
        </w:rPr>
        <w:t xml:space="preserve">. </w:t>
      </w:r>
      <w:proofErr w:type="spellStart"/>
      <w:r w:rsidR="005E2260" w:rsidRPr="00792171">
        <w:rPr>
          <w:sz w:val="24"/>
          <w:szCs w:val="24"/>
        </w:rPr>
        <w:t>If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number</w:t>
      </w:r>
      <w:proofErr w:type="spellEnd"/>
      <w:r w:rsidR="005E2260" w:rsidRPr="00792171">
        <w:rPr>
          <w:sz w:val="24"/>
          <w:szCs w:val="24"/>
        </w:rPr>
        <w:t xml:space="preserve"> of </w:t>
      </w:r>
      <w:proofErr w:type="spellStart"/>
      <w:r w:rsidR="005E2260" w:rsidRPr="00792171">
        <w:rPr>
          <w:sz w:val="24"/>
          <w:szCs w:val="24"/>
        </w:rPr>
        <w:t>students</w:t>
      </w:r>
      <w:proofErr w:type="spellEnd"/>
      <w:r w:rsidR="005E2260" w:rsidRPr="00792171">
        <w:rPr>
          <w:sz w:val="24"/>
          <w:szCs w:val="24"/>
        </w:rPr>
        <w:t xml:space="preserve"> is 29 </w:t>
      </w:r>
      <w:proofErr w:type="spellStart"/>
      <w:r w:rsidR="005E2260" w:rsidRPr="00792171">
        <w:rPr>
          <w:sz w:val="24"/>
          <w:szCs w:val="24"/>
        </w:rPr>
        <w:t>or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less</w:t>
      </w:r>
      <w:proofErr w:type="spellEnd"/>
      <w:r w:rsidR="005E2260" w:rsidRPr="00792171">
        <w:rPr>
          <w:sz w:val="24"/>
          <w:szCs w:val="24"/>
        </w:rPr>
        <w:t xml:space="preserve">, an </w:t>
      </w:r>
      <w:proofErr w:type="spellStart"/>
      <w:r w:rsidR="005E2260" w:rsidRPr="00792171">
        <w:rPr>
          <w:sz w:val="24"/>
          <w:szCs w:val="24"/>
        </w:rPr>
        <w:t>absolute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evaluation</w:t>
      </w:r>
      <w:proofErr w:type="spellEnd"/>
      <w:r w:rsidR="005E2260" w:rsidRPr="00792171">
        <w:rPr>
          <w:sz w:val="24"/>
          <w:szCs w:val="24"/>
        </w:rPr>
        <w:t xml:space="preserve"> is </w:t>
      </w:r>
      <w:proofErr w:type="spellStart"/>
      <w:r w:rsidR="005E2260" w:rsidRPr="00792171">
        <w:rPr>
          <w:sz w:val="24"/>
          <w:szCs w:val="24"/>
        </w:rPr>
        <w:t>required</w:t>
      </w:r>
      <w:proofErr w:type="spellEnd"/>
      <w:r w:rsidR="005E2260" w:rsidRPr="00792171">
        <w:rPr>
          <w:sz w:val="24"/>
          <w:szCs w:val="24"/>
        </w:rPr>
        <w:t>.</w:t>
      </w:r>
    </w:p>
    <w:p w14:paraId="0360E505" w14:textId="77777777" w:rsidR="009858AB" w:rsidRPr="00792171" w:rsidRDefault="005E2260">
      <w:pPr>
        <w:pStyle w:val="ListeParagraf"/>
        <w:numPr>
          <w:ilvl w:val="1"/>
          <w:numId w:val="3"/>
        </w:numPr>
        <w:tabs>
          <w:tab w:val="left" w:pos="1127"/>
        </w:tabs>
        <w:ind w:firstLine="763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If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planned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subjected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is 80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above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cannot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made</w:t>
      </w:r>
      <w:proofErr w:type="spellEnd"/>
      <w:r w:rsidRPr="00792171">
        <w:rPr>
          <w:sz w:val="24"/>
          <w:szCs w:val="24"/>
        </w:rPr>
        <w:t>.</w:t>
      </w:r>
    </w:p>
    <w:p w14:paraId="0360E506" w14:textId="77777777" w:rsidR="009858AB" w:rsidRPr="00792171" w:rsidRDefault="009858AB">
      <w:pPr>
        <w:jc w:val="both"/>
        <w:rPr>
          <w:sz w:val="24"/>
          <w:szCs w:val="24"/>
        </w:rPr>
        <w:sectPr w:rsidR="009858AB" w:rsidRPr="00792171">
          <w:footerReference w:type="default" r:id="rId7"/>
          <w:type w:val="continuous"/>
          <w:pgSz w:w="11910" w:h="16840"/>
          <w:pgMar w:top="1320" w:right="1300" w:bottom="1200" w:left="1300" w:header="708" w:footer="1000" w:gutter="0"/>
          <w:pgNumType w:start="1"/>
          <w:cols w:space="708"/>
        </w:sectPr>
      </w:pPr>
    </w:p>
    <w:p w14:paraId="0360E507" w14:textId="43628690" w:rsidR="009858AB" w:rsidRPr="00792171" w:rsidRDefault="00200A4D">
      <w:pPr>
        <w:pStyle w:val="ListeParagraf"/>
        <w:numPr>
          <w:ilvl w:val="1"/>
          <w:numId w:val="3"/>
        </w:numPr>
        <w:tabs>
          <w:tab w:val="left" w:pos="1115"/>
        </w:tabs>
        <w:spacing w:before="77" w:line="278" w:lineRule="auto"/>
        <w:ind w:right="117" w:firstLine="708"/>
        <w:jc w:val="both"/>
        <w:rPr>
          <w:b/>
          <w:sz w:val="24"/>
          <w:szCs w:val="24"/>
        </w:rPr>
      </w:pPr>
      <w:r w:rsidRPr="00792171">
        <w:rPr>
          <w:sz w:val="24"/>
          <w:szCs w:val="24"/>
        </w:rPr>
        <w:lastRenderedPageBreak/>
        <w:t>Final</w:t>
      </w:r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evaluation</w:t>
      </w:r>
      <w:proofErr w:type="spellEnd"/>
      <w:r w:rsidR="005E2260" w:rsidRPr="00792171">
        <w:rPr>
          <w:sz w:val="24"/>
          <w:szCs w:val="24"/>
        </w:rPr>
        <w:t xml:space="preserve"> is </w:t>
      </w:r>
      <w:proofErr w:type="spellStart"/>
      <w:r w:rsidR="005E2260" w:rsidRPr="00792171">
        <w:rPr>
          <w:sz w:val="24"/>
          <w:szCs w:val="24"/>
        </w:rPr>
        <w:t>applied</w:t>
      </w:r>
      <w:proofErr w:type="spellEnd"/>
      <w:r w:rsidR="005E2260" w:rsidRPr="00792171">
        <w:rPr>
          <w:sz w:val="24"/>
          <w:szCs w:val="24"/>
        </w:rPr>
        <w:t xml:space="preserve"> in </w:t>
      </w:r>
      <w:proofErr w:type="spellStart"/>
      <w:r w:rsidR="005E2260" w:rsidRPr="00792171">
        <w:rPr>
          <w:sz w:val="24"/>
          <w:szCs w:val="24"/>
        </w:rPr>
        <w:t>cases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where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success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grade</w:t>
      </w:r>
      <w:proofErr w:type="spellEnd"/>
      <w:r w:rsidR="005E2260" w:rsidRPr="00792171">
        <w:rPr>
          <w:sz w:val="24"/>
          <w:szCs w:val="24"/>
        </w:rPr>
        <w:t xml:space="preserve"> of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course</w:t>
      </w:r>
      <w:proofErr w:type="spellEnd"/>
      <w:r w:rsidR="005E2260" w:rsidRPr="00792171">
        <w:rPr>
          <w:sz w:val="24"/>
          <w:szCs w:val="24"/>
        </w:rPr>
        <w:t xml:space="preserve"> is </w:t>
      </w:r>
      <w:proofErr w:type="spellStart"/>
      <w:r w:rsidR="005E2260" w:rsidRPr="00792171">
        <w:rPr>
          <w:sz w:val="24"/>
          <w:szCs w:val="24"/>
        </w:rPr>
        <w:t>determined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by</w:t>
      </w:r>
      <w:proofErr w:type="spellEnd"/>
      <w:r w:rsidR="005E2260" w:rsidRPr="00792171">
        <w:rPr>
          <w:sz w:val="24"/>
          <w:szCs w:val="24"/>
        </w:rPr>
        <w:t xml:space="preserve"> a </w:t>
      </w:r>
      <w:proofErr w:type="spellStart"/>
      <w:r w:rsidR="005E2260" w:rsidRPr="00792171">
        <w:rPr>
          <w:sz w:val="24"/>
          <w:szCs w:val="24"/>
        </w:rPr>
        <w:t>single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exam</w:t>
      </w:r>
      <w:proofErr w:type="spellEnd"/>
      <w:r w:rsidR="005E2260" w:rsidRPr="00792171">
        <w:rPr>
          <w:sz w:val="24"/>
          <w:szCs w:val="24"/>
        </w:rPr>
        <w:t xml:space="preserve">, </w:t>
      </w:r>
      <w:proofErr w:type="spellStart"/>
      <w:r w:rsidR="005E2260" w:rsidRPr="00792171">
        <w:rPr>
          <w:sz w:val="24"/>
          <w:szCs w:val="24"/>
        </w:rPr>
        <w:t>such</w:t>
      </w:r>
      <w:proofErr w:type="spellEnd"/>
      <w:r w:rsidR="005E2260" w:rsidRPr="00792171">
        <w:rPr>
          <w:sz w:val="24"/>
          <w:szCs w:val="24"/>
        </w:rPr>
        <w:t xml:space="preserve"> as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exemption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exam</w:t>
      </w:r>
      <w:proofErr w:type="spellEnd"/>
      <w:r w:rsidR="005E2260" w:rsidRPr="00792171">
        <w:rPr>
          <w:sz w:val="24"/>
          <w:szCs w:val="24"/>
        </w:rPr>
        <w:t xml:space="preserve">. </w:t>
      </w:r>
      <w:r w:rsidR="005E2260" w:rsidRPr="00792171">
        <w:rPr>
          <w:b/>
          <w:sz w:val="24"/>
          <w:szCs w:val="24"/>
        </w:rPr>
        <w:t>(</w:t>
      </w:r>
      <w:proofErr w:type="spellStart"/>
      <w:r w:rsidR="005E2260" w:rsidRPr="00792171">
        <w:rPr>
          <w:b/>
          <w:sz w:val="24"/>
          <w:szCs w:val="24"/>
        </w:rPr>
        <w:t>Amendment</w:t>
      </w:r>
      <w:proofErr w:type="spellEnd"/>
      <w:r w:rsidR="005E2260" w:rsidRPr="00792171">
        <w:rPr>
          <w:b/>
          <w:sz w:val="24"/>
          <w:szCs w:val="24"/>
        </w:rPr>
        <w:t xml:space="preserve">: </w:t>
      </w:r>
      <w:proofErr w:type="spellStart"/>
      <w:r w:rsidR="005E2260" w:rsidRPr="00792171">
        <w:rPr>
          <w:b/>
          <w:sz w:val="24"/>
          <w:szCs w:val="24"/>
        </w:rPr>
        <w:t>University</w:t>
      </w:r>
      <w:proofErr w:type="spellEnd"/>
      <w:r w:rsidR="005E2260" w:rsidRPr="00792171">
        <w:rPr>
          <w:b/>
          <w:sz w:val="24"/>
          <w:szCs w:val="24"/>
        </w:rPr>
        <w:t xml:space="preserve"> </w:t>
      </w:r>
      <w:proofErr w:type="spellStart"/>
      <w:r w:rsidR="005E2260" w:rsidRPr="00792171">
        <w:rPr>
          <w:b/>
          <w:sz w:val="24"/>
          <w:szCs w:val="24"/>
        </w:rPr>
        <w:t>Senate's</w:t>
      </w:r>
      <w:proofErr w:type="spellEnd"/>
      <w:r w:rsidR="005E2260" w:rsidRPr="00792171">
        <w:rPr>
          <w:b/>
          <w:sz w:val="24"/>
          <w:szCs w:val="24"/>
        </w:rPr>
        <w:t xml:space="preserve"> </w:t>
      </w:r>
      <w:proofErr w:type="spellStart"/>
      <w:r w:rsidR="005E2260" w:rsidRPr="00792171">
        <w:rPr>
          <w:b/>
          <w:sz w:val="24"/>
          <w:szCs w:val="24"/>
        </w:rPr>
        <w:t>decision</w:t>
      </w:r>
      <w:proofErr w:type="spellEnd"/>
      <w:r w:rsidR="005E2260" w:rsidRPr="00792171">
        <w:rPr>
          <w:b/>
          <w:sz w:val="24"/>
          <w:szCs w:val="24"/>
        </w:rPr>
        <w:t xml:space="preserve"> </w:t>
      </w:r>
      <w:proofErr w:type="spellStart"/>
      <w:r w:rsidR="005E2260" w:rsidRPr="00792171">
        <w:rPr>
          <w:b/>
          <w:sz w:val="24"/>
          <w:szCs w:val="24"/>
        </w:rPr>
        <w:t>dated</w:t>
      </w:r>
      <w:proofErr w:type="spellEnd"/>
      <w:r w:rsidR="005E2260" w:rsidRPr="00792171">
        <w:rPr>
          <w:b/>
          <w:sz w:val="24"/>
          <w:szCs w:val="24"/>
        </w:rPr>
        <w:t xml:space="preserve"> 12.06.2019 </w:t>
      </w:r>
      <w:proofErr w:type="spellStart"/>
      <w:r w:rsidR="005E2260" w:rsidRPr="00792171">
        <w:rPr>
          <w:b/>
          <w:sz w:val="24"/>
          <w:szCs w:val="24"/>
        </w:rPr>
        <w:t>and</w:t>
      </w:r>
      <w:proofErr w:type="spellEnd"/>
      <w:r w:rsidR="005E2260" w:rsidRPr="00792171">
        <w:rPr>
          <w:b/>
          <w:sz w:val="24"/>
          <w:szCs w:val="24"/>
        </w:rPr>
        <w:t xml:space="preserve"> </w:t>
      </w:r>
      <w:proofErr w:type="spellStart"/>
      <w:r w:rsidR="005E2260" w:rsidRPr="00792171">
        <w:rPr>
          <w:b/>
          <w:sz w:val="24"/>
          <w:szCs w:val="24"/>
        </w:rPr>
        <w:t>numbered</w:t>
      </w:r>
      <w:proofErr w:type="spellEnd"/>
      <w:r w:rsidR="005E2260" w:rsidRPr="00792171">
        <w:rPr>
          <w:b/>
          <w:sz w:val="24"/>
          <w:szCs w:val="24"/>
        </w:rPr>
        <w:t xml:space="preserve"> 2019/06-06).</w:t>
      </w:r>
    </w:p>
    <w:p w14:paraId="0360E508" w14:textId="59FEF989" w:rsidR="009858AB" w:rsidRPr="00792171" w:rsidRDefault="006179F2">
      <w:pPr>
        <w:pStyle w:val="ListeParagraf"/>
        <w:numPr>
          <w:ilvl w:val="1"/>
          <w:numId w:val="3"/>
        </w:numPr>
        <w:tabs>
          <w:tab w:val="left" w:pos="1093"/>
        </w:tabs>
        <w:spacing w:before="195"/>
        <w:ind w:right="115" w:firstLine="708"/>
        <w:jc w:val="both"/>
        <w:rPr>
          <w:sz w:val="24"/>
          <w:szCs w:val="24"/>
        </w:rPr>
      </w:pPr>
      <w:r w:rsidRPr="00792171">
        <w:rPr>
          <w:sz w:val="24"/>
          <w:szCs w:val="24"/>
        </w:rPr>
        <w:t xml:space="preserve">A </w:t>
      </w:r>
      <w:proofErr w:type="spellStart"/>
      <w:r w:rsidRPr="00792171">
        <w:rPr>
          <w:sz w:val="24"/>
          <w:szCs w:val="24"/>
        </w:rPr>
        <w:t>r</w:t>
      </w:r>
      <w:r w:rsidR="005E2260" w:rsidRPr="00792171">
        <w:rPr>
          <w:sz w:val="24"/>
          <w:szCs w:val="24"/>
        </w:rPr>
        <w:t>elative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evaluation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system</w:t>
      </w:r>
      <w:proofErr w:type="spellEnd"/>
      <w:r w:rsidR="005E2260" w:rsidRPr="00792171">
        <w:rPr>
          <w:sz w:val="24"/>
          <w:szCs w:val="24"/>
        </w:rPr>
        <w:t xml:space="preserve"> is not </w:t>
      </w:r>
      <w:proofErr w:type="spellStart"/>
      <w:r w:rsidR="005E2260" w:rsidRPr="00792171">
        <w:rPr>
          <w:sz w:val="24"/>
          <w:szCs w:val="24"/>
        </w:rPr>
        <w:t>used</w:t>
      </w:r>
      <w:proofErr w:type="spellEnd"/>
      <w:r w:rsidR="005E2260" w:rsidRPr="00792171">
        <w:rPr>
          <w:sz w:val="24"/>
          <w:szCs w:val="24"/>
        </w:rPr>
        <w:t xml:space="preserve"> in </w:t>
      </w:r>
      <w:proofErr w:type="spellStart"/>
      <w:r w:rsidR="005E2260" w:rsidRPr="00792171">
        <w:rPr>
          <w:sz w:val="24"/>
          <w:szCs w:val="24"/>
        </w:rPr>
        <w:t>calculating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the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success</w:t>
      </w:r>
      <w:proofErr w:type="spellEnd"/>
      <w:r w:rsidR="005E2260"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professional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practice</w:t>
      </w:r>
      <w:proofErr w:type="spellEnd"/>
      <w:r w:rsidR="005E2260" w:rsidRPr="00792171">
        <w:rPr>
          <w:sz w:val="24"/>
          <w:szCs w:val="24"/>
        </w:rPr>
        <w:t xml:space="preserve">, </w:t>
      </w:r>
      <w:proofErr w:type="spellStart"/>
      <w:r w:rsidR="005E2260" w:rsidRPr="00792171">
        <w:rPr>
          <w:sz w:val="24"/>
          <w:szCs w:val="24"/>
        </w:rPr>
        <w:t>term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project</w:t>
      </w:r>
      <w:proofErr w:type="spellEnd"/>
      <w:r w:rsidR="005E2260" w:rsidRPr="00792171">
        <w:rPr>
          <w:sz w:val="24"/>
          <w:szCs w:val="24"/>
        </w:rPr>
        <w:t xml:space="preserve">, </w:t>
      </w:r>
      <w:proofErr w:type="spellStart"/>
      <w:r w:rsidR="005E2260" w:rsidRPr="00792171">
        <w:rPr>
          <w:sz w:val="24"/>
          <w:szCs w:val="24"/>
        </w:rPr>
        <w:t>graduation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project</w:t>
      </w:r>
      <w:proofErr w:type="spellEnd"/>
      <w:r w:rsidR="005E2260" w:rsidRPr="00792171">
        <w:rPr>
          <w:sz w:val="24"/>
          <w:szCs w:val="24"/>
        </w:rPr>
        <w:t xml:space="preserve">, </w:t>
      </w:r>
      <w:proofErr w:type="spellStart"/>
      <w:r w:rsidR="005E2260" w:rsidRPr="00792171">
        <w:rPr>
          <w:sz w:val="24"/>
          <w:szCs w:val="24"/>
        </w:rPr>
        <w:t>graduation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thesis</w:t>
      </w:r>
      <w:proofErr w:type="spellEnd"/>
      <w:r w:rsidR="005E2260" w:rsidRPr="00792171">
        <w:rPr>
          <w:sz w:val="24"/>
          <w:szCs w:val="24"/>
        </w:rPr>
        <w:t xml:space="preserve">, </w:t>
      </w:r>
      <w:r w:rsidRPr="00792171">
        <w:rPr>
          <w:sz w:val="24"/>
          <w:szCs w:val="24"/>
        </w:rPr>
        <w:t xml:space="preserve">a </w:t>
      </w:r>
      <w:proofErr w:type="spellStart"/>
      <w:r w:rsidR="005E2260" w:rsidRPr="00792171">
        <w:rPr>
          <w:sz w:val="24"/>
          <w:szCs w:val="24"/>
        </w:rPr>
        <w:t>seminar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course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and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similar</w:t>
      </w:r>
      <w:proofErr w:type="spellEnd"/>
      <w:r w:rsidR="005E2260" w:rsidRPr="00792171">
        <w:rPr>
          <w:sz w:val="24"/>
          <w:szCs w:val="24"/>
        </w:rPr>
        <w:t xml:space="preserve"> </w:t>
      </w:r>
      <w:proofErr w:type="spellStart"/>
      <w:r w:rsidR="005E2260" w:rsidRPr="00792171">
        <w:rPr>
          <w:sz w:val="24"/>
          <w:szCs w:val="24"/>
        </w:rPr>
        <w:t>courses</w:t>
      </w:r>
      <w:proofErr w:type="spellEnd"/>
      <w:r w:rsidR="005E2260" w:rsidRPr="00792171">
        <w:rPr>
          <w:sz w:val="24"/>
          <w:szCs w:val="24"/>
        </w:rPr>
        <w:t>.</w:t>
      </w:r>
    </w:p>
    <w:p w14:paraId="0360E509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0A" w14:textId="1D90E070" w:rsidR="009858AB" w:rsidRPr="00792171" w:rsidRDefault="005E2260">
      <w:pPr>
        <w:pStyle w:val="ListeParagraf"/>
        <w:numPr>
          <w:ilvl w:val="1"/>
          <w:numId w:val="3"/>
        </w:numPr>
        <w:tabs>
          <w:tab w:val="left" w:pos="1122"/>
        </w:tabs>
        <w:spacing w:before="1"/>
        <w:ind w:right="121" w:firstLine="708"/>
        <w:jc w:val="both"/>
        <w:rPr>
          <w:b/>
          <w:sz w:val="24"/>
          <w:szCs w:val="24"/>
        </w:rPr>
      </w:pPr>
      <w:proofErr w:type="spellStart"/>
      <w:r w:rsidRPr="00792171">
        <w:rPr>
          <w:sz w:val="24"/>
          <w:szCs w:val="24"/>
        </w:rPr>
        <w:t>In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decide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apply</w:t>
      </w:r>
      <w:proofErr w:type="spellEnd"/>
      <w:r w:rsidRPr="00792171">
        <w:rPr>
          <w:sz w:val="24"/>
          <w:szCs w:val="24"/>
        </w:rPr>
        <w:t xml:space="preserve"> a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determining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r w:rsidR="006179F2" w:rsidRPr="00792171">
        <w:rPr>
          <w:sz w:val="24"/>
          <w:szCs w:val="24"/>
        </w:rPr>
        <w:t>fully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system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applied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if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take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make-up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exam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meet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conditions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while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passing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. </w:t>
      </w:r>
      <w:r w:rsidRPr="00792171">
        <w:rPr>
          <w:b/>
          <w:sz w:val="24"/>
          <w:szCs w:val="24"/>
        </w:rPr>
        <w:t>(</w:t>
      </w:r>
      <w:proofErr w:type="spellStart"/>
      <w:r w:rsidRPr="00792171">
        <w:rPr>
          <w:b/>
          <w:sz w:val="24"/>
          <w:szCs w:val="24"/>
        </w:rPr>
        <w:t>Amendment</w:t>
      </w:r>
      <w:proofErr w:type="spellEnd"/>
      <w:r w:rsidRPr="00792171">
        <w:rPr>
          <w:b/>
          <w:sz w:val="24"/>
          <w:szCs w:val="24"/>
        </w:rPr>
        <w:t xml:space="preserve">: </w:t>
      </w:r>
      <w:proofErr w:type="spellStart"/>
      <w:r w:rsidRPr="00792171">
        <w:rPr>
          <w:b/>
          <w:sz w:val="24"/>
          <w:szCs w:val="24"/>
        </w:rPr>
        <w:t>University</w:t>
      </w:r>
      <w:proofErr w:type="spellEnd"/>
      <w:r w:rsidRPr="00792171">
        <w:rPr>
          <w:b/>
          <w:sz w:val="24"/>
          <w:szCs w:val="24"/>
        </w:rPr>
        <w:t xml:space="preserve"> </w:t>
      </w:r>
      <w:proofErr w:type="spellStart"/>
      <w:r w:rsidRPr="00792171">
        <w:rPr>
          <w:b/>
          <w:sz w:val="24"/>
          <w:szCs w:val="24"/>
        </w:rPr>
        <w:t>Senate's</w:t>
      </w:r>
      <w:proofErr w:type="spellEnd"/>
      <w:r w:rsidRPr="00792171">
        <w:rPr>
          <w:b/>
          <w:sz w:val="24"/>
          <w:szCs w:val="24"/>
        </w:rPr>
        <w:t xml:space="preserve"> </w:t>
      </w:r>
      <w:proofErr w:type="spellStart"/>
      <w:r w:rsidRPr="00792171">
        <w:rPr>
          <w:b/>
          <w:sz w:val="24"/>
          <w:szCs w:val="24"/>
        </w:rPr>
        <w:t>decision</w:t>
      </w:r>
      <w:proofErr w:type="spellEnd"/>
      <w:r w:rsidRPr="00792171">
        <w:rPr>
          <w:b/>
          <w:sz w:val="24"/>
          <w:szCs w:val="24"/>
        </w:rPr>
        <w:t xml:space="preserve"> </w:t>
      </w:r>
      <w:proofErr w:type="spellStart"/>
      <w:r w:rsidRPr="00792171">
        <w:rPr>
          <w:b/>
          <w:sz w:val="24"/>
          <w:szCs w:val="24"/>
        </w:rPr>
        <w:t>dated</w:t>
      </w:r>
      <w:proofErr w:type="spellEnd"/>
      <w:r w:rsidRPr="00792171">
        <w:rPr>
          <w:b/>
          <w:sz w:val="24"/>
          <w:szCs w:val="24"/>
        </w:rPr>
        <w:t xml:space="preserve"> 12.06.2019 </w:t>
      </w:r>
      <w:proofErr w:type="spellStart"/>
      <w:r w:rsidRPr="00792171">
        <w:rPr>
          <w:b/>
          <w:sz w:val="24"/>
          <w:szCs w:val="24"/>
        </w:rPr>
        <w:t>and</w:t>
      </w:r>
      <w:proofErr w:type="spellEnd"/>
      <w:r w:rsidRPr="00792171">
        <w:rPr>
          <w:b/>
          <w:sz w:val="24"/>
          <w:szCs w:val="24"/>
        </w:rPr>
        <w:t xml:space="preserve"> </w:t>
      </w:r>
      <w:proofErr w:type="spellStart"/>
      <w:r w:rsidRPr="00792171">
        <w:rPr>
          <w:b/>
          <w:sz w:val="24"/>
          <w:szCs w:val="24"/>
        </w:rPr>
        <w:t>numbered</w:t>
      </w:r>
      <w:proofErr w:type="spellEnd"/>
      <w:r w:rsidRPr="00792171">
        <w:rPr>
          <w:b/>
          <w:sz w:val="24"/>
          <w:szCs w:val="24"/>
        </w:rPr>
        <w:t xml:space="preserve"> 2019/06-06).</w:t>
      </w:r>
    </w:p>
    <w:p w14:paraId="0360E50B" w14:textId="77777777" w:rsidR="009858AB" w:rsidRPr="00792171" w:rsidRDefault="009858AB">
      <w:pPr>
        <w:pStyle w:val="GvdeMetni"/>
        <w:spacing w:before="10"/>
        <w:rPr>
          <w:b/>
          <w:sz w:val="24"/>
          <w:szCs w:val="24"/>
        </w:rPr>
      </w:pPr>
    </w:p>
    <w:p w14:paraId="0360E50C" w14:textId="77777777" w:rsidR="009858AB" w:rsidRPr="00792171" w:rsidRDefault="005E2260">
      <w:pPr>
        <w:pStyle w:val="ListeParagraf"/>
        <w:numPr>
          <w:ilvl w:val="1"/>
          <w:numId w:val="3"/>
        </w:numPr>
        <w:tabs>
          <w:tab w:val="left" w:pos="1127"/>
        </w:tabs>
        <w:ind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When</w:t>
      </w:r>
      <w:proofErr w:type="spellEnd"/>
      <w:r w:rsidRPr="00792171">
        <w:rPr>
          <w:sz w:val="24"/>
          <w:szCs w:val="24"/>
        </w:rPr>
        <w:t xml:space="preserve"> a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made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maintained</w:t>
      </w:r>
      <w:proofErr w:type="spellEnd"/>
      <w:r w:rsidRPr="00792171">
        <w:rPr>
          <w:sz w:val="24"/>
          <w:szCs w:val="24"/>
        </w:rPr>
        <w:t xml:space="preserve"> as 100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without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change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whose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full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out</w:t>
      </w:r>
      <w:proofErr w:type="spellEnd"/>
      <w:r w:rsidRPr="00792171">
        <w:rPr>
          <w:sz w:val="24"/>
          <w:szCs w:val="24"/>
        </w:rPr>
        <w:t xml:space="preserve"> of 100.</w:t>
      </w:r>
    </w:p>
    <w:p w14:paraId="0360E50D" w14:textId="77777777" w:rsidR="009858AB" w:rsidRPr="00792171" w:rsidRDefault="009858AB">
      <w:pPr>
        <w:pStyle w:val="GvdeMetni"/>
        <w:spacing w:before="11"/>
        <w:rPr>
          <w:sz w:val="24"/>
          <w:szCs w:val="24"/>
        </w:rPr>
      </w:pPr>
    </w:p>
    <w:p w14:paraId="0360E50E" w14:textId="77777777" w:rsidR="009858AB" w:rsidRPr="00792171" w:rsidRDefault="005E2260">
      <w:pPr>
        <w:pStyle w:val="ListeParagraf"/>
        <w:numPr>
          <w:ilvl w:val="0"/>
          <w:numId w:val="2"/>
        </w:numPr>
        <w:tabs>
          <w:tab w:val="left" w:pos="1190"/>
        </w:tabs>
        <w:ind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limit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include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is 20. </w:t>
      </w:r>
      <w:proofErr w:type="spellStart"/>
      <w:r w:rsidRPr="00792171">
        <w:rPr>
          <w:sz w:val="24"/>
          <w:szCs w:val="24"/>
        </w:rPr>
        <w:t>During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that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20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below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not </w:t>
      </w:r>
      <w:proofErr w:type="spellStart"/>
      <w:r w:rsidRPr="00792171">
        <w:rPr>
          <w:sz w:val="24"/>
          <w:szCs w:val="24"/>
        </w:rPr>
        <w:t>included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standard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deviation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measurement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directly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accepted</w:t>
      </w:r>
      <w:proofErr w:type="spellEnd"/>
      <w:r w:rsidRPr="00792171">
        <w:rPr>
          <w:sz w:val="24"/>
          <w:szCs w:val="24"/>
        </w:rPr>
        <w:t xml:space="preserve"> as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>.</w:t>
      </w:r>
    </w:p>
    <w:p w14:paraId="0360E50F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10" w14:textId="31E9F913" w:rsidR="009858AB" w:rsidRPr="00792171" w:rsidRDefault="005E2260">
      <w:pPr>
        <w:pStyle w:val="ListeParagraf"/>
        <w:numPr>
          <w:ilvl w:val="0"/>
          <w:numId w:val="2"/>
        </w:numPr>
        <w:tabs>
          <w:tab w:val="left" w:pos="1130"/>
        </w:tabs>
        <w:ind w:right="112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instructor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can </w:t>
      </w:r>
      <w:proofErr w:type="spellStart"/>
      <w:r w:rsidRPr="00792171">
        <w:rPr>
          <w:sz w:val="24"/>
          <w:szCs w:val="24"/>
        </w:rPr>
        <w:t>determine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lower</w:t>
      </w:r>
      <w:proofErr w:type="spellEnd"/>
      <w:r w:rsidRPr="00792171">
        <w:rPr>
          <w:sz w:val="24"/>
          <w:szCs w:val="24"/>
        </w:rPr>
        <w:t xml:space="preserve"> limit of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measurement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made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out</w:t>
      </w:r>
      <w:proofErr w:type="spellEnd"/>
      <w:r w:rsidRPr="00792171">
        <w:rPr>
          <w:sz w:val="24"/>
          <w:szCs w:val="24"/>
        </w:rPr>
        <w:t xml:space="preserve"> of 100, </w:t>
      </w:r>
      <w:proofErr w:type="spellStart"/>
      <w:r w:rsidRPr="00792171">
        <w:rPr>
          <w:sz w:val="24"/>
          <w:szCs w:val="24"/>
        </w:rPr>
        <w:t>valid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which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="004301AF" w:rsidRPr="00792171">
        <w:rPr>
          <w:sz w:val="24"/>
          <w:szCs w:val="24"/>
        </w:rPr>
        <w:t>completed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limit </w:t>
      </w:r>
      <w:proofErr w:type="spellStart"/>
      <w:r w:rsidRPr="00792171">
        <w:rPr>
          <w:sz w:val="24"/>
          <w:szCs w:val="24"/>
        </w:rPr>
        <w:t>cannot</w:t>
      </w:r>
      <w:proofErr w:type="spellEnd"/>
      <w:r w:rsidRPr="00792171">
        <w:rPr>
          <w:sz w:val="24"/>
          <w:szCs w:val="24"/>
        </w:rPr>
        <w:t xml:space="preserve"> be </w:t>
      </w:r>
      <w:proofErr w:type="spellStart"/>
      <w:r w:rsidRPr="00792171">
        <w:rPr>
          <w:sz w:val="24"/>
          <w:szCs w:val="24"/>
        </w:rPr>
        <w:t>above</w:t>
      </w:r>
      <w:proofErr w:type="spellEnd"/>
      <w:r w:rsidRPr="00792171">
        <w:rPr>
          <w:sz w:val="24"/>
          <w:szCs w:val="24"/>
        </w:rPr>
        <w:t xml:space="preserve"> 60. </w:t>
      </w:r>
      <w:proofErr w:type="spellStart"/>
      <w:r w:rsidRPr="00792171">
        <w:rPr>
          <w:sz w:val="24"/>
          <w:szCs w:val="24"/>
        </w:rPr>
        <w:t>Although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below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lower</w:t>
      </w:r>
      <w:proofErr w:type="spellEnd"/>
      <w:r w:rsidRPr="00792171">
        <w:rPr>
          <w:sz w:val="24"/>
          <w:szCs w:val="24"/>
        </w:rPr>
        <w:t xml:space="preserve"> limit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used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calculation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not </w:t>
      </w:r>
      <w:proofErr w:type="spellStart"/>
      <w:r w:rsidR="0084565D" w:rsidRPr="00792171">
        <w:rPr>
          <w:sz w:val="24"/>
          <w:szCs w:val="24"/>
        </w:rPr>
        <w:t>considered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when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="00200A4D" w:rsidRPr="00792171">
        <w:rPr>
          <w:sz w:val="24"/>
          <w:szCs w:val="24"/>
        </w:rPr>
        <w:t>deemed</w:t>
      </w:r>
      <w:proofErr w:type="spellEnd"/>
      <w:r w:rsidR="00200A4D" w:rsidRPr="00792171">
        <w:rPr>
          <w:sz w:val="24"/>
          <w:szCs w:val="24"/>
        </w:rPr>
        <w:t xml:space="preserve"> </w:t>
      </w:r>
      <w:proofErr w:type="spellStart"/>
      <w:r w:rsidR="00200A4D" w:rsidRPr="00792171">
        <w:rPr>
          <w:sz w:val="24"/>
          <w:szCs w:val="24"/>
        </w:rPr>
        <w:t>to</w:t>
      </w:r>
      <w:proofErr w:type="spellEnd"/>
      <w:r w:rsidR="00200A4D" w:rsidRPr="00792171">
        <w:rPr>
          <w:sz w:val="24"/>
          <w:szCs w:val="24"/>
        </w:rPr>
        <w:t xml:space="preserve"> be</w:t>
      </w:r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unsuccessful</w:t>
      </w:r>
      <w:proofErr w:type="spellEnd"/>
      <w:r w:rsidR="004301AF" w:rsidRPr="00792171">
        <w:rPr>
          <w:sz w:val="24"/>
          <w:szCs w:val="24"/>
        </w:rPr>
        <w:t>,</w:t>
      </w:r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used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exactly</w:t>
      </w:r>
      <w:proofErr w:type="spellEnd"/>
      <w:r w:rsidRPr="00792171">
        <w:rPr>
          <w:sz w:val="24"/>
          <w:szCs w:val="24"/>
        </w:rPr>
        <w:t>.</w:t>
      </w:r>
    </w:p>
    <w:p w14:paraId="0360E511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12" w14:textId="77777777" w:rsidR="009858AB" w:rsidRPr="00792171" w:rsidRDefault="005E2260">
      <w:pPr>
        <w:pStyle w:val="ListeParagraf"/>
        <w:numPr>
          <w:ilvl w:val="0"/>
          <w:numId w:val="2"/>
        </w:numPr>
        <w:tabs>
          <w:tab w:val="left" w:pos="1067"/>
        </w:tabs>
        <w:ind w:right="115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If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suitable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each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determined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from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table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below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taking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account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following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steps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followed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conversion</w:t>
      </w:r>
      <w:proofErr w:type="spellEnd"/>
      <w:r w:rsidRPr="00792171">
        <w:rPr>
          <w:sz w:val="24"/>
          <w:szCs w:val="24"/>
        </w:rPr>
        <w:t>:</w:t>
      </w:r>
    </w:p>
    <w:p w14:paraId="0360E513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14" w14:textId="77777777" w:rsidR="009858AB" w:rsidRPr="00792171" w:rsidRDefault="005E2260">
      <w:pPr>
        <w:pStyle w:val="ListeParagraf"/>
        <w:numPr>
          <w:ilvl w:val="0"/>
          <w:numId w:val="1"/>
        </w:numPr>
        <w:tabs>
          <w:tab w:val="left" w:pos="1048"/>
        </w:tabs>
        <w:ind w:right="112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Calculation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b/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entitled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calculated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formula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below</w:t>
      </w:r>
      <w:proofErr w:type="spellEnd"/>
      <w:r w:rsidRPr="00792171">
        <w:rPr>
          <w:sz w:val="24"/>
          <w:szCs w:val="24"/>
        </w:rPr>
        <w:t>.</w:t>
      </w:r>
    </w:p>
    <w:p w14:paraId="0360E515" w14:textId="77777777" w:rsidR="009858AB" w:rsidRPr="00792171" w:rsidRDefault="005E2260">
      <w:pPr>
        <w:pStyle w:val="GvdeMetni"/>
        <w:spacing w:line="270" w:lineRule="exact"/>
        <w:ind w:left="824"/>
        <w:rPr>
          <w:sz w:val="24"/>
          <w:szCs w:val="24"/>
        </w:rPr>
      </w:pPr>
      <w:r w:rsidRPr="00792171">
        <w:rPr>
          <w:noProof/>
          <w:position w:val="-4"/>
          <w:sz w:val="24"/>
          <w:szCs w:val="24"/>
        </w:rPr>
        <w:drawing>
          <wp:inline distT="0" distB="0" distL="0" distR="0" wp14:anchorId="0360E5B5" wp14:editId="0360E5B6">
            <wp:extent cx="114300" cy="17208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171">
        <w:rPr>
          <w:sz w:val="24"/>
          <w:szCs w:val="24"/>
        </w:rPr>
        <w:t xml:space="preserve">  = </w:t>
      </w:r>
      <w:r w:rsidRPr="00792171">
        <w:rPr>
          <w:sz w:val="24"/>
          <w:szCs w:val="24"/>
          <w:u w:val="single"/>
        </w:rPr>
        <w:t>Σ X</w:t>
      </w:r>
    </w:p>
    <w:p w14:paraId="0360E516" w14:textId="77777777" w:rsidR="009858AB" w:rsidRPr="00792171" w:rsidRDefault="005E2260">
      <w:pPr>
        <w:pStyle w:val="GvdeMetni"/>
        <w:spacing w:line="252" w:lineRule="exact"/>
        <w:ind w:left="1376"/>
        <w:rPr>
          <w:sz w:val="24"/>
          <w:szCs w:val="24"/>
        </w:rPr>
      </w:pPr>
      <w:r w:rsidRPr="00792171">
        <w:rPr>
          <w:sz w:val="24"/>
          <w:szCs w:val="24"/>
        </w:rPr>
        <w:t>N</w:t>
      </w:r>
    </w:p>
    <w:p w14:paraId="0360E517" w14:textId="77777777" w:rsidR="009858AB" w:rsidRPr="00792171" w:rsidRDefault="005E2260">
      <w:pPr>
        <w:pStyle w:val="GvdeMetni"/>
        <w:spacing w:line="271" w:lineRule="exact"/>
        <w:ind w:left="824"/>
        <w:rPr>
          <w:sz w:val="24"/>
          <w:szCs w:val="24"/>
        </w:rPr>
      </w:pPr>
      <w:r w:rsidRPr="00792171">
        <w:rPr>
          <w:noProof/>
          <w:position w:val="-4"/>
          <w:sz w:val="24"/>
          <w:szCs w:val="24"/>
        </w:rPr>
        <w:drawing>
          <wp:inline distT="0" distB="0" distL="0" distR="0" wp14:anchorId="0360E5B7" wp14:editId="0360E5B8">
            <wp:extent cx="114300" cy="17272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171">
        <w:rPr>
          <w:sz w:val="24"/>
          <w:szCs w:val="24"/>
        </w:rPr>
        <w:t xml:space="preserve">  = Course </w:t>
      </w:r>
      <w:proofErr w:type="spellStart"/>
      <w:r w:rsidRPr="00792171">
        <w:rPr>
          <w:sz w:val="24"/>
          <w:szCs w:val="24"/>
        </w:rPr>
        <w:t>point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</w:p>
    <w:p w14:paraId="0360E518" w14:textId="20A5C9AD" w:rsidR="009858AB" w:rsidRPr="00792171" w:rsidRDefault="005E2260">
      <w:pPr>
        <w:pStyle w:val="GvdeMetni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X = </w:t>
      </w:r>
      <w:proofErr w:type="spellStart"/>
      <w:r w:rsidR="0084565D" w:rsidRPr="00792171">
        <w:rPr>
          <w:sz w:val="24"/>
          <w:szCs w:val="24"/>
        </w:rPr>
        <w:t>s</w:t>
      </w:r>
      <w:r w:rsidRPr="00792171">
        <w:rPr>
          <w:sz w:val="24"/>
          <w:szCs w:val="24"/>
        </w:rPr>
        <w:t>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</w:p>
    <w:p w14:paraId="0360E519" w14:textId="77777777" w:rsidR="009858AB" w:rsidRPr="00792171" w:rsidRDefault="009858AB">
      <w:pPr>
        <w:pStyle w:val="GvdeMetni"/>
        <w:spacing w:before="11"/>
        <w:rPr>
          <w:sz w:val="24"/>
          <w:szCs w:val="24"/>
        </w:rPr>
      </w:pPr>
    </w:p>
    <w:p w14:paraId="0360E51A" w14:textId="77777777" w:rsidR="009858AB" w:rsidRPr="00792171" w:rsidRDefault="005E2260">
      <w:pPr>
        <w:pStyle w:val="ListeParagraf"/>
        <w:numPr>
          <w:ilvl w:val="0"/>
          <w:numId w:val="1"/>
        </w:numPr>
        <w:tabs>
          <w:tab w:val="left" w:pos="1079"/>
        </w:tabs>
        <w:ind w:left="1078" w:right="0" w:hanging="254"/>
        <w:rPr>
          <w:sz w:val="24"/>
          <w:szCs w:val="24"/>
        </w:rPr>
      </w:pPr>
      <w:r w:rsidRPr="00792171">
        <w:rPr>
          <w:sz w:val="24"/>
          <w:szCs w:val="24"/>
        </w:rPr>
        <w:t xml:space="preserve">Standard </w:t>
      </w:r>
      <w:proofErr w:type="spellStart"/>
      <w:r w:rsidRPr="00792171">
        <w:rPr>
          <w:sz w:val="24"/>
          <w:szCs w:val="24"/>
        </w:rPr>
        <w:t>deviation</w:t>
      </w:r>
      <w:proofErr w:type="spellEnd"/>
      <w:r w:rsidRPr="00792171">
        <w:rPr>
          <w:sz w:val="24"/>
          <w:szCs w:val="24"/>
        </w:rPr>
        <w:t xml:space="preserve">: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standard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deviation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achievement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found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following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method</w:t>
      </w:r>
      <w:proofErr w:type="spellEnd"/>
      <w:r w:rsidRPr="00792171">
        <w:rPr>
          <w:sz w:val="24"/>
          <w:szCs w:val="24"/>
        </w:rPr>
        <w:t>.</w:t>
      </w:r>
    </w:p>
    <w:p w14:paraId="0360E51B" w14:textId="77777777" w:rsidR="009858AB" w:rsidRPr="00792171" w:rsidRDefault="005E2260">
      <w:pPr>
        <w:pStyle w:val="P68B1DB1-BodyText2"/>
        <w:ind w:left="1532"/>
        <w:rPr>
          <w:sz w:val="24"/>
          <w:szCs w:val="24"/>
        </w:rPr>
      </w:pPr>
      <w:r w:rsidRPr="00792171">
        <w:rPr>
          <w:noProof/>
          <w:sz w:val="24"/>
          <w:szCs w:val="24"/>
        </w:rPr>
        <w:drawing>
          <wp:inline distT="0" distB="0" distL="0" distR="0" wp14:anchorId="0360E5B9" wp14:editId="0360E5BA">
            <wp:extent cx="1951989" cy="4953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98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E51C" w14:textId="77777777" w:rsidR="009858AB" w:rsidRPr="00792171" w:rsidRDefault="009858AB">
      <w:pPr>
        <w:pStyle w:val="GvdeMetni"/>
        <w:spacing w:before="9"/>
        <w:rPr>
          <w:sz w:val="24"/>
          <w:szCs w:val="24"/>
        </w:rPr>
      </w:pPr>
    </w:p>
    <w:p w14:paraId="0360E51D" w14:textId="77777777" w:rsidR="009858AB" w:rsidRPr="00792171" w:rsidRDefault="005E2260">
      <w:pPr>
        <w:pStyle w:val="GvdeMetni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S � </w:t>
      </w:r>
      <w:proofErr w:type="spellStart"/>
      <w:r w:rsidRPr="00792171">
        <w:rPr>
          <w:sz w:val="24"/>
          <w:szCs w:val="24"/>
        </w:rPr>
        <w:t>standard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deviation</w:t>
      </w:r>
      <w:proofErr w:type="spellEnd"/>
    </w:p>
    <w:p w14:paraId="0360E51E" w14:textId="32CD2EB0" w:rsidR="009858AB" w:rsidRPr="00792171" w:rsidRDefault="005E2260">
      <w:pPr>
        <w:pStyle w:val="GvdeMetni"/>
        <w:ind w:left="824" w:right="3943"/>
        <w:rPr>
          <w:sz w:val="24"/>
          <w:szCs w:val="24"/>
        </w:rPr>
      </w:pPr>
      <w:r w:rsidRPr="00792171">
        <w:rPr>
          <w:sz w:val="24"/>
          <w:szCs w:val="24"/>
        </w:rPr>
        <w:t xml:space="preserve">N = </w:t>
      </w:r>
      <w:proofErr w:type="spellStart"/>
      <w:r w:rsidRPr="00792171">
        <w:rPr>
          <w:sz w:val="24"/>
          <w:szCs w:val="24"/>
        </w:rPr>
        <w:t>Number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who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will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participate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X = </w:t>
      </w:r>
      <w:proofErr w:type="spellStart"/>
      <w:r w:rsidR="0084565D" w:rsidRPr="00792171">
        <w:rPr>
          <w:sz w:val="24"/>
          <w:szCs w:val="24"/>
        </w:rPr>
        <w:t>s</w:t>
      </w:r>
      <w:r w:rsidRPr="00792171">
        <w:rPr>
          <w:sz w:val="24"/>
          <w:szCs w:val="24"/>
        </w:rPr>
        <w:t>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</w:p>
    <w:p w14:paraId="0360E51F" w14:textId="77777777" w:rsidR="009858AB" w:rsidRPr="00792171" w:rsidRDefault="005E2260">
      <w:pPr>
        <w:pStyle w:val="GvdeMetni"/>
        <w:spacing w:line="235" w:lineRule="auto"/>
        <w:ind w:left="824" w:right="1163"/>
        <w:rPr>
          <w:sz w:val="24"/>
          <w:szCs w:val="24"/>
        </w:rPr>
      </w:pPr>
      <w:r w:rsidRPr="00792171">
        <w:rPr>
          <w:sz w:val="24"/>
          <w:szCs w:val="24"/>
        </w:rPr>
        <w:t>Σ X</w:t>
      </w:r>
      <w:r w:rsidRPr="00792171">
        <w:rPr>
          <w:position w:val="8"/>
          <w:sz w:val="24"/>
          <w:szCs w:val="24"/>
        </w:rPr>
        <w:t xml:space="preserve">2nd </w:t>
      </w:r>
      <w:r w:rsidRPr="00792171">
        <w:rPr>
          <w:sz w:val="24"/>
          <w:szCs w:val="24"/>
        </w:rPr>
        <w:t xml:space="preserve">=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sum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squares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participating</w:t>
      </w:r>
      <w:proofErr w:type="spellEnd"/>
      <w:r w:rsidRPr="00792171">
        <w:rPr>
          <w:sz w:val="24"/>
          <w:szCs w:val="24"/>
        </w:rPr>
        <w:t xml:space="preserve"> </w:t>
      </w:r>
      <w:r w:rsidRPr="00792171">
        <w:rPr>
          <w:sz w:val="24"/>
          <w:szCs w:val="24"/>
        </w:rPr>
        <w:lastRenderedPageBreak/>
        <w:t xml:space="preserve">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  <w:r w:rsidRPr="00792171">
        <w:rPr>
          <w:sz w:val="24"/>
          <w:szCs w:val="24"/>
        </w:rPr>
        <w:t xml:space="preserve"> (Σ X)</w:t>
      </w:r>
      <w:r w:rsidRPr="00792171">
        <w:rPr>
          <w:position w:val="8"/>
          <w:sz w:val="24"/>
          <w:szCs w:val="24"/>
        </w:rPr>
        <w:t xml:space="preserve">2nd </w:t>
      </w:r>
      <w:r w:rsidRPr="00792171">
        <w:rPr>
          <w:sz w:val="24"/>
          <w:szCs w:val="24"/>
        </w:rPr>
        <w:t xml:space="preserve">=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square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sum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points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participating</w:t>
      </w:r>
      <w:proofErr w:type="spellEnd"/>
      <w:r w:rsidRPr="00792171">
        <w:rPr>
          <w:sz w:val="24"/>
          <w:szCs w:val="24"/>
        </w:rPr>
        <w:t xml:space="preserve"> in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evaluation</w:t>
      </w:r>
      <w:proofErr w:type="spellEnd"/>
    </w:p>
    <w:p w14:paraId="0360E520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21" w14:textId="77777777" w:rsidR="009858AB" w:rsidRPr="00792171" w:rsidRDefault="005E2260">
      <w:pPr>
        <w:pStyle w:val="ListeParagraf"/>
        <w:numPr>
          <w:ilvl w:val="0"/>
          <w:numId w:val="1"/>
        </w:numPr>
        <w:tabs>
          <w:tab w:val="left" w:pos="1154"/>
        </w:tabs>
        <w:spacing w:line="254" w:lineRule="auto"/>
        <w:ind w:left="824" w:right="222" w:firstLine="0"/>
        <w:rPr>
          <w:sz w:val="24"/>
          <w:szCs w:val="24"/>
        </w:rPr>
      </w:pPr>
      <w:r w:rsidRPr="00792171">
        <w:rPr>
          <w:noProof/>
          <w:sz w:val="24"/>
          <w:szCs w:val="24"/>
        </w:rPr>
        <w:drawing>
          <wp:anchor distT="0" distB="0" distL="0" distR="0" simplePos="0" relativeHeight="268423679" behindDoc="1" locked="0" layoutInCell="1" allowOverlap="1" wp14:anchorId="0360E5BB" wp14:editId="0360E5BC">
            <wp:simplePos x="0" y="0"/>
            <wp:positionH relativeFrom="page">
              <wp:posOffset>1764664</wp:posOffset>
            </wp:positionH>
            <wp:positionV relativeFrom="paragraph">
              <wp:posOffset>159506</wp:posOffset>
            </wp:positionV>
            <wp:extent cx="114300" cy="17208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171">
        <w:rPr>
          <w:sz w:val="24"/>
          <w:szCs w:val="24"/>
        </w:rPr>
        <w:t xml:space="preserve">First, </w:t>
      </w:r>
      <w:proofErr w:type="spellStart"/>
      <w:r w:rsidRPr="00792171">
        <w:rPr>
          <w:sz w:val="24"/>
          <w:szCs w:val="24"/>
        </w:rPr>
        <w:t>each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Z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calculated</w:t>
      </w:r>
      <w:proofErr w:type="spellEnd"/>
      <w:r w:rsidRPr="00792171">
        <w:rPr>
          <w:sz w:val="24"/>
          <w:szCs w:val="24"/>
        </w:rPr>
        <w:t xml:space="preserve">.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following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formula</w:t>
      </w:r>
      <w:proofErr w:type="spellEnd"/>
      <w:r w:rsidRPr="00792171">
        <w:rPr>
          <w:sz w:val="24"/>
          <w:szCs w:val="24"/>
        </w:rPr>
        <w:t xml:space="preserve"> is </w:t>
      </w:r>
      <w:proofErr w:type="spellStart"/>
      <w:r w:rsidRPr="00792171">
        <w:rPr>
          <w:sz w:val="24"/>
          <w:szCs w:val="24"/>
        </w:rPr>
        <w:t>used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Z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. Z = </w:t>
      </w:r>
      <w:proofErr w:type="gramStart"/>
      <w:r w:rsidRPr="00792171">
        <w:rPr>
          <w:sz w:val="24"/>
          <w:szCs w:val="24"/>
          <w:u w:val="single"/>
        </w:rPr>
        <w:t>X -</w:t>
      </w:r>
      <w:proofErr w:type="gramEnd"/>
    </w:p>
    <w:p w14:paraId="0360E522" w14:textId="77777777" w:rsidR="009858AB" w:rsidRPr="00792171" w:rsidRDefault="005E2260">
      <w:pPr>
        <w:pStyle w:val="GvdeMetni"/>
        <w:spacing w:line="239" w:lineRule="exact"/>
        <w:ind w:left="1266"/>
        <w:rPr>
          <w:sz w:val="24"/>
          <w:szCs w:val="24"/>
        </w:rPr>
      </w:pPr>
      <w:r w:rsidRPr="00792171">
        <w:rPr>
          <w:sz w:val="24"/>
          <w:szCs w:val="24"/>
        </w:rPr>
        <w:t>S</w:t>
      </w:r>
    </w:p>
    <w:p w14:paraId="0360E523" w14:textId="77777777" w:rsidR="009858AB" w:rsidRPr="00792171" w:rsidRDefault="005E2260">
      <w:pPr>
        <w:pStyle w:val="GvdeMetni"/>
        <w:spacing w:line="252" w:lineRule="exact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Z = Z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a </w:t>
      </w:r>
      <w:proofErr w:type="spellStart"/>
      <w:r w:rsidRPr="00792171">
        <w:rPr>
          <w:sz w:val="24"/>
          <w:szCs w:val="24"/>
        </w:rPr>
        <w:t>student</w:t>
      </w:r>
      <w:proofErr w:type="spellEnd"/>
    </w:p>
    <w:p w14:paraId="0360E524" w14:textId="77777777" w:rsidR="009858AB" w:rsidRPr="00792171" w:rsidRDefault="005E2260">
      <w:pPr>
        <w:pStyle w:val="GvdeMetni"/>
        <w:spacing w:before="6" w:line="235" w:lineRule="auto"/>
        <w:ind w:left="824" w:right="5600"/>
        <w:rPr>
          <w:sz w:val="24"/>
          <w:szCs w:val="24"/>
        </w:rPr>
      </w:pPr>
      <w:r w:rsidRPr="00792171">
        <w:rPr>
          <w:sz w:val="24"/>
          <w:szCs w:val="24"/>
        </w:rPr>
        <w:t xml:space="preserve">X=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</w:t>
      </w:r>
      <w:r w:rsidRPr="00792171">
        <w:rPr>
          <w:noProof/>
          <w:position w:val="-4"/>
          <w:sz w:val="24"/>
          <w:szCs w:val="24"/>
        </w:rPr>
        <w:drawing>
          <wp:inline distT="0" distB="0" distL="0" distR="0" wp14:anchorId="0360E5BD" wp14:editId="0360E5BE">
            <wp:extent cx="76200" cy="172719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72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2171">
        <w:rPr>
          <w:sz w:val="24"/>
          <w:szCs w:val="24"/>
        </w:rPr>
        <w:t xml:space="preserve"> = Course </w:t>
      </w:r>
      <w:proofErr w:type="spellStart"/>
      <w:r w:rsidRPr="00792171">
        <w:rPr>
          <w:sz w:val="24"/>
          <w:szCs w:val="24"/>
        </w:rPr>
        <w:t>point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</w:p>
    <w:p w14:paraId="0360E525" w14:textId="77777777" w:rsidR="009858AB" w:rsidRPr="00792171" w:rsidRDefault="005E2260">
      <w:pPr>
        <w:pStyle w:val="GvdeMetni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S � </w:t>
      </w:r>
      <w:proofErr w:type="spellStart"/>
      <w:r w:rsidRPr="00792171">
        <w:rPr>
          <w:sz w:val="24"/>
          <w:szCs w:val="24"/>
        </w:rPr>
        <w:t>standard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deviation</w:t>
      </w:r>
      <w:proofErr w:type="spellEnd"/>
    </w:p>
    <w:p w14:paraId="0360E526" w14:textId="77777777" w:rsidR="009858AB" w:rsidRPr="00792171" w:rsidRDefault="009858AB">
      <w:pPr>
        <w:rPr>
          <w:sz w:val="24"/>
          <w:szCs w:val="24"/>
        </w:rPr>
        <w:sectPr w:rsidR="009858AB" w:rsidRPr="00792171">
          <w:pgSz w:w="11910" w:h="16840"/>
          <w:pgMar w:top="1320" w:right="1300" w:bottom="1200" w:left="1300" w:header="0" w:footer="1000" w:gutter="0"/>
          <w:cols w:space="708"/>
        </w:sectPr>
      </w:pPr>
    </w:p>
    <w:p w14:paraId="0360E527" w14:textId="77777777" w:rsidR="009858AB" w:rsidRPr="00792171" w:rsidRDefault="005E2260">
      <w:pPr>
        <w:pStyle w:val="ListeParagraf"/>
        <w:numPr>
          <w:ilvl w:val="0"/>
          <w:numId w:val="1"/>
        </w:numPr>
        <w:tabs>
          <w:tab w:val="left" w:pos="1168"/>
        </w:tabs>
        <w:spacing w:before="76"/>
        <w:ind w:left="1167" w:right="0" w:hanging="343"/>
        <w:rPr>
          <w:sz w:val="24"/>
          <w:szCs w:val="24"/>
        </w:rPr>
      </w:pPr>
      <w:r w:rsidRPr="00792171">
        <w:rPr>
          <w:sz w:val="24"/>
          <w:szCs w:val="24"/>
        </w:rPr>
        <w:lastRenderedPageBreak/>
        <w:t xml:space="preserve">Z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converted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T </w:t>
      </w:r>
      <w:proofErr w:type="spellStart"/>
      <w:r w:rsidRPr="00792171">
        <w:rPr>
          <w:sz w:val="24"/>
          <w:szCs w:val="24"/>
        </w:rPr>
        <w:t>scores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using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following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formula</w:t>
      </w:r>
      <w:proofErr w:type="spellEnd"/>
      <w:r w:rsidRPr="00792171">
        <w:rPr>
          <w:sz w:val="24"/>
          <w:szCs w:val="24"/>
        </w:rPr>
        <w:t>:</w:t>
      </w:r>
    </w:p>
    <w:p w14:paraId="0360E528" w14:textId="77777777" w:rsidR="009858AB" w:rsidRPr="00792171" w:rsidRDefault="009858AB">
      <w:pPr>
        <w:pStyle w:val="GvdeMetni"/>
        <w:spacing w:before="11"/>
        <w:rPr>
          <w:sz w:val="24"/>
          <w:szCs w:val="24"/>
        </w:rPr>
      </w:pPr>
    </w:p>
    <w:p w14:paraId="0360E529" w14:textId="77777777" w:rsidR="009858AB" w:rsidRPr="00792171" w:rsidRDefault="005E2260">
      <w:pPr>
        <w:pStyle w:val="GvdeMetni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>T= 60+10 (Z)</w:t>
      </w:r>
    </w:p>
    <w:p w14:paraId="0360E52A" w14:textId="77777777" w:rsidR="009858AB" w:rsidRPr="00792171" w:rsidRDefault="005E2260">
      <w:pPr>
        <w:pStyle w:val="GvdeMetni"/>
        <w:spacing w:before="1" w:line="252" w:lineRule="exact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T =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T </w:t>
      </w:r>
      <w:proofErr w:type="spellStart"/>
      <w:r w:rsidRPr="00792171">
        <w:rPr>
          <w:sz w:val="24"/>
          <w:szCs w:val="24"/>
        </w:rPr>
        <w:t>score</w:t>
      </w:r>
      <w:proofErr w:type="spellEnd"/>
    </w:p>
    <w:p w14:paraId="0360E52B" w14:textId="77777777" w:rsidR="009858AB" w:rsidRPr="00792171" w:rsidRDefault="005E2260">
      <w:pPr>
        <w:pStyle w:val="GvdeMetni"/>
        <w:spacing w:line="252" w:lineRule="exact"/>
        <w:ind w:left="824"/>
        <w:rPr>
          <w:sz w:val="24"/>
          <w:szCs w:val="24"/>
        </w:rPr>
      </w:pPr>
      <w:r w:rsidRPr="00792171">
        <w:rPr>
          <w:sz w:val="24"/>
          <w:szCs w:val="24"/>
        </w:rPr>
        <w:t xml:space="preserve">Z = </w:t>
      </w:r>
      <w:proofErr w:type="spellStart"/>
      <w:r w:rsidRPr="00792171">
        <w:rPr>
          <w:sz w:val="24"/>
          <w:szCs w:val="24"/>
        </w:rPr>
        <w:t>Student's</w:t>
      </w:r>
      <w:proofErr w:type="spellEnd"/>
      <w:r w:rsidRPr="00792171">
        <w:rPr>
          <w:sz w:val="24"/>
          <w:szCs w:val="24"/>
        </w:rPr>
        <w:t xml:space="preserve"> Z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(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calculated</w:t>
      </w:r>
      <w:proofErr w:type="spellEnd"/>
      <w:r w:rsidRPr="00792171">
        <w:rPr>
          <w:sz w:val="24"/>
          <w:szCs w:val="24"/>
        </w:rPr>
        <w:t xml:space="preserve"> in step III)</w:t>
      </w:r>
    </w:p>
    <w:p w14:paraId="0360E52C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2D" w14:textId="4CAC0474" w:rsidR="009858AB" w:rsidRPr="00792171" w:rsidRDefault="005E2260">
      <w:pPr>
        <w:pStyle w:val="ListeParagraf"/>
        <w:numPr>
          <w:ilvl w:val="0"/>
          <w:numId w:val="1"/>
        </w:numPr>
        <w:tabs>
          <w:tab w:val="left" w:pos="1110"/>
        </w:tabs>
        <w:ind w:right="113" w:firstLine="708"/>
        <w:jc w:val="both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After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calculating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T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each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corresponding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T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letter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corresponding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</w:t>
      </w:r>
      <w:proofErr w:type="spellEnd"/>
      <w:r w:rsidRPr="00792171">
        <w:rPr>
          <w:sz w:val="24"/>
          <w:szCs w:val="24"/>
        </w:rPr>
        <w:t xml:space="preserve"> </w:t>
      </w:r>
      <w:r w:rsidR="004301AF" w:rsidRPr="00792171">
        <w:rPr>
          <w:sz w:val="24"/>
          <w:szCs w:val="24"/>
        </w:rPr>
        <w:t>is</w:t>
      </w:r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determined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considering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according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Table</w:t>
      </w:r>
      <w:proofErr w:type="spellEnd"/>
      <w:r w:rsidRPr="00792171">
        <w:rPr>
          <w:sz w:val="24"/>
          <w:szCs w:val="24"/>
        </w:rPr>
        <w:t>.</w:t>
      </w:r>
    </w:p>
    <w:p w14:paraId="0360E52E" w14:textId="77777777" w:rsidR="009858AB" w:rsidRPr="00792171" w:rsidRDefault="009858AB">
      <w:pPr>
        <w:pStyle w:val="GvdeMetni"/>
        <w:spacing w:before="9"/>
        <w:rPr>
          <w:sz w:val="24"/>
          <w:szCs w:val="24"/>
        </w:rPr>
      </w:pPr>
    </w:p>
    <w:p w14:paraId="0360E52F" w14:textId="77777777" w:rsidR="009858AB" w:rsidRPr="00792171" w:rsidRDefault="005E2260">
      <w:pPr>
        <w:pStyle w:val="ListeParagraf"/>
        <w:numPr>
          <w:ilvl w:val="0"/>
          <w:numId w:val="2"/>
        </w:numPr>
        <w:tabs>
          <w:tab w:val="left" w:pos="1086"/>
        </w:tabs>
        <w:ind w:firstLine="708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table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showing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determined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according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average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score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students</w:t>
      </w:r>
      <w:proofErr w:type="spellEnd"/>
      <w:r w:rsidRPr="00792171">
        <w:rPr>
          <w:sz w:val="24"/>
          <w:szCs w:val="24"/>
        </w:rPr>
        <w:t xml:space="preserve">,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distribution</w:t>
      </w:r>
      <w:proofErr w:type="spellEnd"/>
      <w:r w:rsidRPr="00792171">
        <w:rPr>
          <w:sz w:val="24"/>
          <w:szCs w:val="24"/>
        </w:rPr>
        <w:t xml:space="preserve"> of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relative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grades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according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course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success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levels</w:t>
      </w:r>
      <w:proofErr w:type="spellEnd"/>
    </w:p>
    <w:p w14:paraId="0360E530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31" w14:textId="77777777" w:rsidR="009858AB" w:rsidRPr="00792171" w:rsidRDefault="009858AB">
      <w:pPr>
        <w:pStyle w:val="GvdeMetni"/>
        <w:spacing w:before="3" w:after="1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994"/>
        <w:gridCol w:w="545"/>
        <w:gridCol w:w="698"/>
        <w:gridCol w:w="698"/>
        <w:gridCol w:w="970"/>
        <w:gridCol w:w="850"/>
        <w:gridCol w:w="850"/>
        <w:gridCol w:w="994"/>
        <w:gridCol w:w="850"/>
        <w:gridCol w:w="567"/>
      </w:tblGrid>
      <w:tr w:rsidR="009858AB" w:rsidRPr="00792171" w14:paraId="0360E53A" w14:textId="77777777">
        <w:trPr>
          <w:trHeight w:val="1040"/>
        </w:trPr>
        <w:tc>
          <w:tcPr>
            <w:tcW w:w="1058" w:type="dxa"/>
          </w:tcPr>
          <w:p w14:paraId="0360E532" w14:textId="77777777" w:rsidR="009858AB" w:rsidRPr="00792171" w:rsidRDefault="009858A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360E533" w14:textId="77777777" w:rsidR="009858AB" w:rsidRPr="00792171" w:rsidRDefault="005E2260">
            <w:pPr>
              <w:pStyle w:val="P68B1DB1-TableParagraph3"/>
              <w:spacing w:before="138"/>
              <w:ind w:right="158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Success</w:t>
            </w:r>
            <w:proofErr w:type="spellEnd"/>
            <w:r w:rsidRPr="00792171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994" w:type="dxa"/>
          </w:tcPr>
          <w:p w14:paraId="0360E534" w14:textId="77777777" w:rsidR="009858AB" w:rsidRPr="00792171" w:rsidRDefault="009858A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360E535" w14:textId="77777777" w:rsidR="009858AB" w:rsidRPr="00792171" w:rsidRDefault="005E2260">
            <w:pPr>
              <w:pStyle w:val="P68B1DB1-TableParagraph3"/>
              <w:spacing w:before="0"/>
              <w:ind w:right="541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 xml:space="preserve">Course </w:t>
            </w:r>
            <w:proofErr w:type="spellStart"/>
            <w:r w:rsidRPr="00792171">
              <w:rPr>
                <w:sz w:val="24"/>
                <w:szCs w:val="24"/>
              </w:rPr>
              <w:t>Scores</w:t>
            </w:r>
            <w:proofErr w:type="spellEnd"/>
          </w:p>
          <w:p w14:paraId="0360E536" w14:textId="77777777" w:rsidR="009858AB" w:rsidRPr="00792171" w:rsidRDefault="005E2260">
            <w:pPr>
              <w:pStyle w:val="P68B1DB1-TableParagraph3"/>
              <w:spacing w:before="0" w:line="182" w:lineRule="exact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7022" w:type="dxa"/>
            <w:gridSpan w:val="9"/>
          </w:tcPr>
          <w:p w14:paraId="0360E537" w14:textId="77777777" w:rsidR="009858AB" w:rsidRPr="00792171" w:rsidRDefault="009858A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14:paraId="0360E538" w14:textId="77777777" w:rsidR="009858AB" w:rsidRPr="00792171" w:rsidRDefault="009858AB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14:paraId="0360E539" w14:textId="77777777" w:rsidR="009858AB" w:rsidRPr="00792171" w:rsidRDefault="005E2260">
            <w:pPr>
              <w:pStyle w:val="P68B1DB1-TableParagraph3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 xml:space="preserve">Distribution of </w:t>
            </w:r>
            <w:proofErr w:type="spellStart"/>
            <w:r w:rsidRPr="00792171">
              <w:rPr>
                <w:sz w:val="24"/>
                <w:szCs w:val="24"/>
              </w:rPr>
              <w:t>Relative</w:t>
            </w:r>
            <w:proofErr w:type="spellEnd"/>
            <w:r w:rsidRPr="00792171">
              <w:rPr>
                <w:sz w:val="24"/>
                <w:szCs w:val="24"/>
              </w:rPr>
              <w:t xml:space="preserve"> </w:t>
            </w:r>
            <w:proofErr w:type="spellStart"/>
            <w:r w:rsidRPr="00792171">
              <w:rPr>
                <w:sz w:val="24"/>
                <w:szCs w:val="24"/>
              </w:rPr>
              <w:t>Grades</w:t>
            </w:r>
            <w:proofErr w:type="spellEnd"/>
            <w:r w:rsidRPr="00792171">
              <w:rPr>
                <w:sz w:val="24"/>
                <w:szCs w:val="24"/>
              </w:rPr>
              <w:t xml:space="preserve"> in </w:t>
            </w:r>
            <w:proofErr w:type="spellStart"/>
            <w:r w:rsidRPr="00792171">
              <w:rPr>
                <w:sz w:val="24"/>
                <w:szCs w:val="24"/>
              </w:rPr>
              <w:t>terms</w:t>
            </w:r>
            <w:proofErr w:type="spellEnd"/>
            <w:r w:rsidRPr="00792171">
              <w:rPr>
                <w:sz w:val="24"/>
                <w:szCs w:val="24"/>
              </w:rPr>
              <w:t xml:space="preserve"> of T </w:t>
            </w:r>
            <w:proofErr w:type="spellStart"/>
            <w:r w:rsidRPr="00792171">
              <w:rPr>
                <w:sz w:val="24"/>
                <w:szCs w:val="24"/>
              </w:rPr>
              <w:t>Score</w:t>
            </w:r>
            <w:proofErr w:type="spellEnd"/>
            <w:r w:rsidRPr="00792171">
              <w:rPr>
                <w:sz w:val="24"/>
                <w:szCs w:val="24"/>
              </w:rPr>
              <w:t xml:space="preserve"> </w:t>
            </w:r>
            <w:proofErr w:type="spellStart"/>
            <w:r w:rsidRPr="00792171">
              <w:rPr>
                <w:sz w:val="24"/>
                <w:szCs w:val="24"/>
              </w:rPr>
              <w:t>according</w:t>
            </w:r>
            <w:proofErr w:type="spellEnd"/>
            <w:r w:rsidRPr="00792171">
              <w:rPr>
                <w:sz w:val="24"/>
                <w:szCs w:val="24"/>
              </w:rPr>
              <w:t xml:space="preserve"> </w:t>
            </w:r>
            <w:proofErr w:type="spellStart"/>
            <w:r w:rsidRPr="00792171">
              <w:rPr>
                <w:sz w:val="24"/>
                <w:szCs w:val="24"/>
              </w:rPr>
              <w:t>to</w:t>
            </w:r>
            <w:proofErr w:type="spellEnd"/>
            <w:r w:rsidRPr="00792171">
              <w:rPr>
                <w:sz w:val="24"/>
                <w:szCs w:val="24"/>
              </w:rPr>
              <w:t xml:space="preserve"> Course </w:t>
            </w:r>
            <w:proofErr w:type="spellStart"/>
            <w:r w:rsidRPr="00792171">
              <w:rPr>
                <w:sz w:val="24"/>
                <w:szCs w:val="24"/>
              </w:rPr>
              <w:t>Success</w:t>
            </w:r>
            <w:proofErr w:type="spellEnd"/>
            <w:r w:rsidRPr="00792171">
              <w:rPr>
                <w:sz w:val="24"/>
                <w:szCs w:val="24"/>
              </w:rPr>
              <w:t xml:space="preserve"> Level</w:t>
            </w:r>
          </w:p>
        </w:tc>
      </w:tr>
      <w:tr w:rsidR="009858AB" w:rsidRPr="00792171" w14:paraId="0360E548" w14:textId="77777777">
        <w:trPr>
          <w:trHeight w:val="480"/>
        </w:trPr>
        <w:tc>
          <w:tcPr>
            <w:tcW w:w="1058" w:type="dxa"/>
          </w:tcPr>
          <w:p w14:paraId="0360E53B" w14:textId="77777777" w:rsidR="009858AB" w:rsidRPr="00792171" w:rsidRDefault="005E2260">
            <w:pPr>
              <w:pStyle w:val="P68B1DB1-TableParagraph3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Perfect</w:t>
            </w:r>
          </w:p>
        </w:tc>
        <w:tc>
          <w:tcPr>
            <w:tcW w:w="994" w:type="dxa"/>
          </w:tcPr>
          <w:p w14:paraId="0360E53C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&gt;70 ≤ 79.99</w:t>
            </w:r>
          </w:p>
        </w:tc>
        <w:tc>
          <w:tcPr>
            <w:tcW w:w="545" w:type="dxa"/>
          </w:tcPr>
          <w:p w14:paraId="0360E53D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.69</w:t>
            </w:r>
          </w:p>
        </w:tc>
        <w:tc>
          <w:tcPr>
            <w:tcW w:w="698" w:type="dxa"/>
          </w:tcPr>
          <w:p w14:paraId="0360E53E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(66.5)</w:t>
            </w:r>
          </w:p>
          <w:p w14:paraId="0360E53F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68.99</w:t>
            </w:r>
          </w:p>
        </w:tc>
        <w:tc>
          <w:tcPr>
            <w:tcW w:w="698" w:type="dxa"/>
          </w:tcPr>
          <w:p w14:paraId="0360E540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64</w:t>
            </w:r>
          </w:p>
          <w:p w14:paraId="0360E541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66.49</w:t>
            </w:r>
          </w:p>
        </w:tc>
        <w:tc>
          <w:tcPr>
            <w:tcW w:w="970" w:type="dxa"/>
          </w:tcPr>
          <w:p w14:paraId="0360E542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61.5-63.99</w:t>
            </w:r>
          </w:p>
        </w:tc>
        <w:tc>
          <w:tcPr>
            <w:tcW w:w="850" w:type="dxa"/>
          </w:tcPr>
          <w:p w14:paraId="0360E543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59-61.49</w:t>
            </w:r>
          </w:p>
        </w:tc>
        <w:tc>
          <w:tcPr>
            <w:tcW w:w="850" w:type="dxa"/>
          </w:tcPr>
          <w:p w14:paraId="0360E544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54-58.99</w:t>
            </w:r>
          </w:p>
        </w:tc>
        <w:tc>
          <w:tcPr>
            <w:tcW w:w="994" w:type="dxa"/>
          </w:tcPr>
          <w:p w14:paraId="0360E545" w14:textId="77777777" w:rsidR="009858AB" w:rsidRPr="00792171" w:rsidRDefault="005E2260">
            <w:pPr>
              <w:pStyle w:val="P68B1DB1-TableParagraph4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51.5-53.99</w:t>
            </w:r>
          </w:p>
        </w:tc>
        <w:tc>
          <w:tcPr>
            <w:tcW w:w="850" w:type="dxa"/>
          </w:tcPr>
          <w:p w14:paraId="0360E546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49-53.49</w:t>
            </w:r>
          </w:p>
        </w:tc>
        <w:tc>
          <w:tcPr>
            <w:tcW w:w="566" w:type="dxa"/>
          </w:tcPr>
          <w:p w14:paraId="0360E547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&lt;49</w:t>
            </w:r>
          </w:p>
        </w:tc>
      </w:tr>
      <w:tr w:rsidR="009858AB" w:rsidRPr="00792171" w14:paraId="0360E557" w14:textId="77777777">
        <w:trPr>
          <w:trHeight w:val="480"/>
        </w:trPr>
        <w:tc>
          <w:tcPr>
            <w:tcW w:w="1058" w:type="dxa"/>
          </w:tcPr>
          <w:p w14:paraId="0360E549" w14:textId="77777777" w:rsidR="009858AB" w:rsidRPr="00792171" w:rsidRDefault="005E2260">
            <w:pPr>
              <w:pStyle w:val="P68B1DB1-TableParagraph3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Very</w:t>
            </w:r>
            <w:proofErr w:type="spellEnd"/>
            <w:r w:rsidRPr="00792171">
              <w:rPr>
                <w:sz w:val="24"/>
                <w:szCs w:val="24"/>
              </w:rPr>
              <w:t xml:space="preserve"> </w:t>
            </w:r>
            <w:proofErr w:type="spellStart"/>
            <w:r w:rsidRPr="00792171">
              <w:rPr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994" w:type="dxa"/>
          </w:tcPr>
          <w:p w14:paraId="0360E54A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&gt;62.5</w:t>
            </w:r>
          </w:p>
          <w:p w14:paraId="0360E54B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≤69.99</w:t>
            </w:r>
          </w:p>
        </w:tc>
        <w:tc>
          <w:tcPr>
            <w:tcW w:w="545" w:type="dxa"/>
          </w:tcPr>
          <w:p w14:paraId="0360E54C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71</w:t>
            </w:r>
          </w:p>
        </w:tc>
        <w:tc>
          <w:tcPr>
            <w:tcW w:w="698" w:type="dxa"/>
          </w:tcPr>
          <w:p w14:paraId="0360E54D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68.5</w:t>
            </w:r>
          </w:p>
          <w:p w14:paraId="0360E54E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70.99</w:t>
            </w:r>
          </w:p>
        </w:tc>
        <w:tc>
          <w:tcPr>
            <w:tcW w:w="698" w:type="dxa"/>
          </w:tcPr>
          <w:p w14:paraId="0360E54F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66</w:t>
            </w:r>
          </w:p>
          <w:p w14:paraId="0360E550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68.49</w:t>
            </w:r>
          </w:p>
        </w:tc>
        <w:tc>
          <w:tcPr>
            <w:tcW w:w="970" w:type="dxa"/>
          </w:tcPr>
          <w:p w14:paraId="0360E551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63.5-65.99</w:t>
            </w:r>
          </w:p>
        </w:tc>
        <w:tc>
          <w:tcPr>
            <w:tcW w:w="850" w:type="dxa"/>
          </w:tcPr>
          <w:p w14:paraId="0360E552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61-63.49</w:t>
            </w:r>
          </w:p>
        </w:tc>
        <w:tc>
          <w:tcPr>
            <w:tcW w:w="850" w:type="dxa"/>
          </w:tcPr>
          <w:p w14:paraId="0360E553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56-60.99</w:t>
            </w:r>
          </w:p>
        </w:tc>
        <w:tc>
          <w:tcPr>
            <w:tcW w:w="994" w:type="dxa"/>
          </w:tcPr>
          <w:p w14:paraId="0360E554" w14:textId="77777777" w:rsidR="009858AB" w:rsidRPr="00792171" w:rsidRDefault="005E2260">
            <w:pPr>
              <w:pStyle w:val="P68B1DB1-TableParagraph4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53.5-55.99</w:t>
            </w:r>
          </w:p>
        </w:tc>
        <w:tc>
          <w:tcPr>
            <w:tcW w:w="850" w:type="dxa"/>
          </w:tcPr>
          <w:p w14:paraId="0360E555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51-53.49</w:t>
            </w:r>
          </w:p>
        </w:tc>
        <w:tc>
          <w:tcPr>
            <w:tcW w:w="566" w:type="dxa"/>
          </w:tcPr>
          <w:p w14:paraId="0360E556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51</w:t>
            </w:r>
            <w:proofErr w:type="gramEnd"/>
          </w:p>
        </w:tc>
      </w:tr>
      <w:tr w:rsidR="009858AB" w:rsidRPr="00792171" w14:paraId="0360E566" w14:textId="77777777">
        <w:trPr>
          <w:trHeight w:val="480"/>
        </w:trPr>
        <w:tc>
          <w:tcPr>
            <w:tcW w:w="1058" w:type="dxa"/>
          </w:tcPr>
          <w:p w14:paraId="0360E558" w14:textId="77777777" w:rsidR="009858AB" w:rsidRPr="00792171" w:rsidRDefault="005E2260">
            <w:pPr>
              <w:pStyle w:val="P68B1DB1-TableParagraph3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Good</w:t>
            </w:r>
            <w:proofErr w:type="spellEnd"/>
          </w:p>
        </w:tc>
        <w:tc>
          <w:tcPr>
            <w:tcW w:w="994" w:type="dxa"/>
          </w:tcPr>
          <w:p w14:paraId="0360E559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&gt;57.5</w:t>
            </w:r>
          </w:p>
          <w:p w14:paraId="0360E55A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≤62.49</w:t>
            </w:r>
          </w:p>
        </w:tc>
        <w:tc>
          <w:tcPr>
            <w:tcW w:w="545" w:type="dxa"/>
          </w:tcPr>
          <w:p w14:paraId="0360E55B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≥ 73</w:t>
            </w:r>
          </w:p>
        </w:tc>
        <w:tc>
          <w:tcPr>
            <w:tcW w:w="698" w:type="dxa"/>
          </w:tcPr>
          <w:p w14:paraId="0360E55C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70.5-</w:t>
            </w:r>
          </w:p>
          <w:p w14:paraId="0360E55D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72.99</w:t>
            </w:r>
          </w:p>
        </w:tc>
        <w:tc>
          <w:tcPr>
            <w:tcW w:w="698" w:type="dxa"/>
          </w:tcPr>
          <w:p w14:paraId="0360E55E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68.-</w:t>
            </w:r>
          </w:p>
          <w:p w14:paraId="0360E55F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70.49</w:t>
            </w:r>
          </w:p>
        </w:tc>
        <w:tc>
          <w:tcPr>
            <w:tcW w:w="970" w:type="dxa"/>
          </w:tcPr>
          <w:p w14:paraId="0360E560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65,5-67,99</w:t>
            </w:r>
          </w:p>
        </w:tc>
        <w:tc>
          <w:tcPr>
            <w:tcW w:w="850" w:type="dxa"/>
          </w:tcPr>
          <w:p w14:paraId="0360E561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63-65.49</w:t>
            </w:r>
          </w:p>
        </w:tc>
        <w:tc>
          <w:tcPr>
            <w:tcW w:w="850" w:type="dxa"/>
          </w:tcPr>
          <w:p w14:paraId="0360E562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58-62.99</w:t>
            </w:r>
          </w:p>
        </w:tc>
        <w:tc>
          <w:tcPr>
            <w:tcW w:w="994" w:type="dxa"/>
          </w:tcPr>
          <w:p w14:paraId="0360E563" w14:textId="77777777" w:rsidR="009858AB" w:rsidRPr="00792171" w:rsidRDefault="005E2260">
            <w:pPr>
              <w:pStyle w:val="P68B1DB1-TableParagraph4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55.5-57.99</w:t>
            </w:r>
          </w:p>
        </w:tc>
        <w:tc>
          <w:tcPr>
            <w:tcW w:w="850" w:type="dxa"/>
          </w:tcPr>
          <w:p w14:paraId="0360E564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53-55.49</w:t>
            </w:r>
          </w:p>
        </w:tc>
        <w:tc>
          <w:tcPr>
            <w:tcW w:w="566" w:type="dxa"/>
          </w:tcPr>
          <w:p w14:paraId="0360E565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53</w:t>
            </w:r>
            <w:proofErr w:type="gramEnd"/>
          </w:p>
        </w:tc>
      </w:tr>
      <w:tr w:rsidR="009858AB" w:rsidRPr="00792171" w14:paraId="0360E575" w14:textId="77777777">
        <w:trPr>
          <w:trHeight w:val="480"/>
        </w:trPr>
        <w:tc>
          <w:tcPr>
            <w:tcW w:w="1058" w:type="dxa"/>
          </w:tcPr>
          <w:p w14:paraId="0360E567" w14:textId="77777777" w:rsidR="009858AB" w:rsidRPr="00792171" w:rsidRDefault="005E2260">
            <w:pPr>
              <w:pStyle w:val="P68B1DB1-TableParagraph3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Above</w:t>
            </w:r>
            <w:proofErr w:type="spellEnd"/>
            <w:r w:rsidRPr="00792171">
              <w:rPr>
                <w:sz w:val="24"/>
                <w:szCs w:val="24"/>
              </w:rPr>
              <w:t xml:space="preserve"> </w:t>
            </w:r>
            <w:proofErr w:type="spellStart"/>
            <w:r w:rsidRPr="00792171">
              <w:rPr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994" w:type="dxa"/>
          </w:tcPr>
          <w:p w14:paraId="0360E568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&gt;52.5</w:t>
            </w:r>
          </w:p>
          <w:p w14:paraId="0360E569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≤57.49</w:t>
            </w:r>
          </w:p>
        </w:tc>
        <w:tc>
          <w:tcPr>
            <w:tcW w:w="545" w:type="dxa"/>
          </w:tcPr>
          <w:p w14:paraId="0360E56A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≥75</w:t>
            </w:r>
          </w:p>
        </w:tc>
        <w:tc>
          <w:tcPr>
            <w:tcW w:w="698" w:type="dxa"/>
          </w:tcPr>
          <w:p w14:paraId="0360E56B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72.5-</w:t>
            </w:r>
          </w:p>
          <w:p w14:paraId="0360E56C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74.99</w:t>
            </w:r>
          </w:p>
        </w:tc>
        <w:tc>
          <w:tcPr>
            <w:tcW w:w="698" w:type="dxa"/>
          </w:tcPr>
          <w:p w14:paraId="0360E56D" w14:textId="77777777" w:rsidR="009858AB" w:rsidRPr="00792171" w:rsidRDefault="005E2260">
            <w:pPr>
              <w:pStyle w:val="P68B1DB1-TableParagraph4"/>
              <w:spacing w:before="66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70-</w:t>
            </w:r>
          </w:p>
          <w:p w14:paraId="0360E56E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72.49</w:t>
            </w:r>
          </w:p>
        </w:tc>
        <w:tc>
          <w:tcPr>
            <w:tcW w:w="970" w:type="dxa"/>
          </w:tcPr>
          <w:p w14:paraId="0360E56F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67.5-69.99</w:t>
            </w:r>
          </w:p>
        </w:tc>
        <w:tc>
          <w:tcPr>
            <w:tcW w:w="850" w:type="dxa"/>
          </w:tcPr>
          <w:p w14:paraId="0360E570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65-67.49</w:t>
            </w:r>
          </w:p>
        </w:tc>
        <w:tc>
          <w:tcPr>
            <w:tcW w:w="850" w:type="dxa"/>
          </w:tcPr>
          <w:p w14:paraId="0360E571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60-64.99</w:t>
            </w:r>
          </w:p>
        </w:tc>
        <w:tc>
          <w:tcPr>
            <w:tcW w:w="994" w:type="dxa"/>
          </w:tcPr>
          <w:p w14:paraId="0360E572" w14:textId="77777777" w:rsidR="009858AB" w:rsidRPr="00792171" w:rsidRDefault="005E2260">
            <w:pPr>
              <w:pStyle w:val="P68B1DB1-TableParagraph4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57.5-59.99</w:t>
            </w:r>
          </w:p>
        </w:tc>
        <w:tc>
          <w:tcPr>
            <w:tcW w:w="850" w:type="dxa"/>
          </w:tcPr>
          <w:p w14:paraId="0360E573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55-57.49</w:t>
            </w:r>
          </w:p>
        </w:tc>
        <w:tc>
          <w:tcPr>
            <w:tcW w:w="566" w:type="dxa"/>
          </w:tcPr>
          <w:p w14:paraId="0360E574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55</w:t>
            </w:r>
            <w:proofErr w:type="gramEnd"/>
          </w:p>
        </w:tc>
      </w:tr>
      <w:tr w:rsidR="009858AB" w:rsidRPr="00792171" w14:paraId="0360E584" w14:textId="77777777">
        <w:trPr>
          <w:trHeight w:val="480"/>
        </w:trPr>
        <w:tc>
          <w:tcPr>
            <w:tcW w:w="1058" w:type="dxa"/>
          </w:tcPr>
          <w:p w14:paraId="0360E576" w14:textId="77777777" w:rsidR="009858AB" w:rsidRPr="00792171" w:rsidRDefault="005E2260">
            <w:pPr>
              <w:pStyle w:val="P68B1DB1-TableParagraph3"/>
              <w:spacing w:before="155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Average</w:t>
            </w:r>
            <w:proofErr w:type="spellEnd"/>
          </w:p>
        </w:tc>
        <w:tc>
          <w:tcPr>
            <w:tcW w:w="994" w:type="dxa"/>
          </w:tcPr>
          <w:p w14:paraId="0360E577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 47.5</w:t>
            </w:r>
          </w:p>
          <w:p w14:paraId="0360E578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≤52.49</w:t>
            </w:r>
          </w:p>
        </w:tc>
        <w:tc>
          <w:tcPr>
            <w:tcW w:w="545" w:type="dxa"/>
          </w:tcPr>
          <w:p w14:paraId="0360E579" w14:textId="77777777" w:rsidR="009858AB" w:rsidRPr="00792171" w:rsidRDefault="005E2260">
            <w:pPr>
              <w:pStyle w:val="P68B1DB1-TableParagraph4"/>
              <w:spacing w:before="155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≥77</w:t>
            </w:r>
          </w:p>
        </w:tc>
        <w:tc>
          <w:tcPr>
            <w:tcW w:w="698" w:type="dxa"/>
          </w:tcPr>
          <w:p w14:paraId="0360E57A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74.5-</w:t>
            </w:r>
          </w:p>
          <w:p w14:paraId="0360E57B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76.99</w:t>
            </w:r>
          </w:p>
        </w:tc>
        <w:tc>
          <w:tcPr>
            <w:tcW w:w="698" w:type="dxa"/>
          </w:tcPr>
          <w:p w14:paraId="0360E57C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72-</w:t>
            </w:r>
          </w:p>
          <w:p w14:paraId="0360E57D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74.49</w:t>
            </w:r>
          </w:p>
        </w:tc>
        <w:tc>
          <w:tcPr>
            <w:tcW w:w="970" w:type="dxa"/>
          </w:tcPr>
          <w:p w14:paraId="0360E57E" w14:textId="77777777" w:rsidR="009858AB" w:rsidRPr="00792171" w:rsidRDefault="005E2260">
            <w:pPr>
              <w:pStyle w:val="P68B1DB1-TableParagraph4"/>
              <w:spacing w:before="155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69.5-71.99</w:t>
            </w:r>
          </w:p>
        </w:tc>
        <w:tc>
          <w:tcPr>
            <w:tcW w:w="850" w:type="dxa"/>
          </w:tcPr>
          <w:p w14:paraId="0360E57F" w14:textId="77777777" w:rsidR="009858AB" w:rsidRPr="00792171" w:rsidRDefault="005E2260">
            <w:pPr>
              <w:pStyle w:val="P68B1DB1-TableParagraph4"/>
              <w:spacing w:before="155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67-69.49</w:t>
            </w:r>
          </w:p>
        </w:tc>
        <w:tc>
          <w:tcPr>
            <w:tcW w:w="850" w:type="dxa"/>
          </w:tcPr>
          <w:p w14:paraId="0360E580" w14:textId="77777777" w:rsidR="009858AB" w:rsidRPr="00792171" w:rsidRDefault="005E2260">
            <w:pPr>
              <w:pStyle w:val="P68B1DB1-TableParagraph4"/>
              <w:spacing w:before="155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62-66.99</w:t>
            </w:r>
          </w:p>
        </w:tc>
        <w:tc>
          <w:tcPr>
            <w:tcW w:w="994" w:type="dxa"/>
          </w:tcPr>
          <w:p w14:paraId="0360E581" w14:textId="77777777" w:rsidR="009858AB" w:rsidRPr="00792171" w:rsidRDefault="005E2260">
            <w:pPr>
              <w:pStyle w:val="P68B1DB1-TableParagraph4"/>
              <w:spacing w:before="155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59.5-61.99</w:t>
            </w:r>
          </w:p>
        </w:tc>
        <w:tc>
          <w:tcPr>
            <w:tcW w:w="850" w:type="dxa"/>
          </w:tcPr>
          <w:p w14:paraId="0360E582" w14:textId="77777777" w:rsidR="009858AB" w:rsidRPr="00792171" w:rsidRDefault="005E2260">
            <w:pPr>
              <w:pStyle w:val="P68B1DB1-TableParagraph4"/>
              <w:spacing w:before="155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57-59.49</w:t>
            </w:r>
          </w:p>
        </w:tc>
        <w:tc>
          <w:tcPr>
            <w:tcW w:w="566" w:type="dxa"/>
          </w:tcPr>
          <w:p w14:paraId="0360E583" w14:textId="77777777" w:rsidR="009858AB" w:rsidRPr="00792171" w:rsidRDefault="005E2260">
            <w:pPr>
              <w:pStyle w:val="P68B1DB1-TableParagraph4"/>
              <w:spacing w:before="155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57</w:t>
            </w:r>
            <w:proofErr w:type="gramEnd"/>
          </w:p>
        </w:tc>
      </w:tr>
      <w:tr w:rsidR="009858AB" w:rsidRPr="00792171" w14:paraId="0360E593" w14:textId="77777777">
        <w:trPr>
          <w:trHeight w:val="480"/>
        </w:trPr>
        <w:tc>
          <w:tcPr>
            <w:tcW w:w="1058" w:type="dxa"/>
          </w:tcPr>
          <w:p w14:paraId="0360E585" w14:textId="77777777" w:rsidR="009858AB" w:rsidRPr="00792171" w:rsidRDefault="005E2260">
            <w:pPr>
              <w:pStyle w:val="P68B1DB1-TableParagraph3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Fail</w:t>
            </w:r>
          </w:p>
        </w:tc>
        <w:tc>
          <w:tcPr>
            <w:tcW w:w="994" w:type="dxa"/>
          </w:tcPr>
          <w:p w14:paraId="0360E586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&gt;42.5</w:t>
            </w:r>
          </w:p>
          <w:p w14:paraId="0360E587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≤47.49</w:t>
            </w:r>
          </w:p>
        </w:tc>
        <w:tc>
          <w:tcPr>
            <w:tcW w:w="545" w:type="dxa"/>
          </w:tcPr>
          <w:p w14:paraId="0360E588" w14:textId="77777777" w:rsidR="009858AB" w:rsidRPr="00792171" w:rsidRDefault="005E2260">
            <w:pPr>
              <w:pStyle w:val="P68B1DB1-TableParagraph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≥79</w:t>
            </w:r>
          </w:p>
        </w:tc>
        <w:tc>
          <w:tcPr>
            <w:tcW w:w="698" w:type="dxa"/>
          </w:tcPr>
          <w:p w14:paraId="0360E589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76.5-</w:t>
            </w:r>
          </w:p>
          <w:p w14:paraId="0360E58A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78.99</w:t>
            </w:r>
          </w:p>
        </w:tc>
        <w:tc>
          <w:tcPr>
            <w:tcW w:w="698" w:type="dxa"/>
          </w:tcPr>
          <w:p w14:paraId="0360E58B" w14:textId="77777777" w:rsidR="009858AB" w:rsidRPr="00792171" w:rsidRDefault="005E2260">
            <w:pPr>
              <w:pStyle w:val="P68B1DB1-TableParagraph4"/>
              <w:spacing w:before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74-</w:t>
            </w:r>
          </w:p>
          <w:p w14:paraId="0360E58C" w14:textId="77777777" w:rsidR="009858AB" w:rsidRPr="00792171" w:rsidRDefault="005E2260">
            <w:pPr>
              <w:pStyle w:val="P68B1DB1-TableParagraph4"/>
              <w:spacing w:before="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76.49</w:t>
            </w:r>
          </w:p>
        </w:tc>
        <w:tc>
          <w:tcPr>
            <w:tcW w:w="970" w:type="dxa"/>
          </w:tcPr>
          <w:p w14:paraId="0360E58D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71.5-73.99</w:t>
            </w:r>
          </w:p>
        </w:tc>
        <w:tc>
          <w:tcPr>
            <w:tcW w:w="850" w:type="dxa"/>
          </w:tcPr>
          <w:p w14:paraId="0360E58E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69-71.49</w:t>
            </w:r>
          </w:p>
        </w:tc>
        <w:tc>
          <w:tcPr>
            <w:tcW w:w="850" w:type="dxa"/>
          </w:tcPr>
          <w:p w14:paraId="0360E58F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64-68.99</w:t>
            </w:r>
          </w:p>
        </w:tc>
        <w:tc>
          <w:tcPr>
            <w:tcW w:w="994" w:type="dxa"/>
          </w:tcPr>
          <w:p w14:paraId="0360E590" w14:textId="77777777" w:rsidR="009858AB" w:rsidRPr="00792171" w:rsidRDefault="005E2260">
            <w:pPr>
              <w:pStyle w:val="P68B1DB1-TableParagraph4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61.5-63.99</w:t>
            </w:r>
          </w:p>
        </w:tc>
        <w:tc>
          <w:tcPr>
            <w:tcW w:w="850" w:type="dxa"/>
          </w:tcPr>
          <w:p w14:paraId="0360E591" w14:textId="77777777" w:rsidR="009858AB" w:rsidRPr="00792171" w:rsidRDefault="005E2260">
            <w:pPr>
              <w:pStyle w:val="P68B1DB1-TableParagraph4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59-61.49</w:t>
            </w:r>
          </w:p>
        </w:tc>
        <w:tc>
          <w:tcPr>
            <w:tcW w:w="566" w:type="dxa"/>
          </w:tcPr>
          <w:p w14:paraId="0360E592" w14:textId="77777777" w:rsidR="009858AB" w:rsidRPr="00792171" w:rsidRDefault="005E2260">
            <w:pPr>
              <w:pStyle w:val="P68B1DB1-TableParagraph4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59</w:t>
            </w:r>
            <w:proofErr w:type="gramEnd"/>
          </w:p>
        </w:tc>
      </w:tr>
      <w:tr w:rsidR="009858AB" w:rsidRPr="00792171" w14:paraId="0360E5A1" w14:textId="77777777">
        <w:trPr>
          <w:trHeight w:val="360"/>
        </w:trPr>
        <w:tc>
          <w:tcPr>
            <w:tcW w:w="1058" w:type="dxa"/>
          </w:tcPr>
          <w:p w14:paraId="0360E594" w14:textId="77777777" w:rsidR="009858AB" w:rsidRPr="00792171" w:rsidRDefault="005E2260">
            <w:pPr>
              <w:pStyle w:val="P68B1DB1-TableParagraph3"/>
              <w:spacing w:before="93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994" w:type="dxa"/>
          </w:tcPr>
          <w:p w14:paraId="0360E595" w14:textId="77777777" w:rsidR="009858AB" w:rsidRPr="00792171" w:rsidRDefault="005E2260">
            <w:pPr>
              <w:pStyle w:val="P68B1DB1-TableParagraph4"/>
              <w:spacing w:before="93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&lt; 42.49</w:t>
            </w:r>
          </w:p>
        </w:tc>
        <w:tc>
          <w:tcPr>
            <w:tcW w:w="545" w:type="dxa"/>
          </w:tcPr>
          <w:p w14:paraId="0360E596" w14:textId="77777777" w:rsidR="009858AB" w:rsidRPr="00792171" w:rsidRDefault="005E2260">
            <w:pPr>
              <w:pStyle w:val="P68B1DB1-TableParagraph4"/>
              <w:spacing w:before="93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≥ 81</w:t>
            </w:r>
          </w:p>
        </w:tc>
        <w:tc>
          <w:tcPr>
            <w:tcW w:w="698" w:type="dxa"/>
          </w:tcPr>
          <w:p w14:paraId="0360E597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78.5-</w:t>
            </w:r>
          </w:p>
          <w:p w14:paraId="0360E598" w14:textId="77777777" w:rsidR="009858AB" w:rsidRPr="00792171" w:rsidRDefault="005E2260">
            <w:pPr>
              <w:pStyle w:val="P68B1DB1-TableParagraph4"/>
              <w:spacing w:before="1" w:line="16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80.99</w:t>
            </w:r>
          </w:p>
        </w:tc>
        <w:tc>
          <w:tcPr>
            <w:tcW w:w="698" w:type="dxa"/>
          </w:tcPr>
          <w:p w14:paraId="0360E599" w14:textId="77777777" w:rsidR="009858AB" w:rsidRPr="00792171" w:rsidRDefault="005E2260">
            <w:pPr>
              <w:pStyle w:val="P68B1DB1-TableParagraph4"/>
              <w:spacing w:before="0" w:line="18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76-</w:t>
            </w:r>
          </w:p>
          <w:p w14:paraId="0360E59A" w14:textId="77777777" w:rsidR="009858AB" w:rsidRPr="00792171" w:rsidRDefault="005E2260">
            <w:pPr>
              <w:pStyle w:val="P68B1DB1-TableParagraph4"/>
              <w:spacing w:before="1" w:line="163" w:lineRule="exac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78.49</w:t>
            </w:r>
          </w:p>
        </w:tc>
        <w:tc>
          <w:tcPr>
            <w:tcW w:w="970" w:type="dxa"/>
          </w:tcPr>
          <w:p w14:paraId="0360E59B" w14:textId="77777777" w:rsidR="009858AB" w:rsidRPr="00792171" w:rsidRDefault="005E2260">
            <w:pPr>
              <w:pStyle w:val="P68B1DB1-TableParagraph4"/>
              <w:spacing w:before="93"/>
              <w:ind w:left="6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73.5-75.99</w:t>
            </w:r>
          </w:p>
        </w:tc>
        <w:tc>
          <w:tcPr>
            <w:tcW w:w="850" w:type="dxa"/>
          </w:tcPr>
          <w:p w14:paraId="0360E59C" w14:textId="77777777" w:rsidR="009858AB" w:rsidRPr="00792171" w:rsidRDefault="005E2260">
            <w:pPr>
              <w:pStyle w:val="P68B1DB1-TableParagraph4"/>
              <w:spacing w:before="93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71-73,49</w:t>
            </w:r>
          </w:p>
        </w:tc>
        <w:tc>
          <w:tcPr>
            <w:tcW w:w="850" w:type="dxa"/>
          </w:tcPr>
          <w:p w14:paraId="0360E59D" w14:textId="77777777" w:rsidR="009858AB" w:rsidRPr="00792171" w:rsidRDefault="005E2260">
            <w:pPr>
              <w:pStyle w:val="P68B1DB1-TableParagraph4"/>
              <w:spacing w:before="93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66-70.99</w:t>
            </w:r>
          </w:p>
        </w:tc>
        <w:tc>
          <w:tcPr>
            <w:tcW w:w="994" w:type="dxa"/>
          </w:tcPr>
          <w:p w14:paraId="0360E59E" w14:textId="77777777" w:rsidR="009858AB" w:rsidRPr="00792171" w:rsidRDefault="005E2260">
            <w:pPr>
              <w:pStyle w:val="P68B1DB1-TableParagraph4"/>
              <w:spacing w:before="93"/>
              <w:ind w:left="67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63.5-65.99</w:t>
            </w:r>
          </w:p>
        </w:tc>
        <w:tc>
          <w:tcPr>
            <w:tcW w:w="850" w:type="dxa"/>
          </w:tcPr>
          <w:p w14:paraId="0360E59F" w14:textId="77777777" w:rsidR="009858AB" w:rsidRPr="00792171" w:rsidRDefault="005E2260">
            <w:pPr>
              <w:pStyle w:val="P68B1DB1-TableParagraph4"/>
              <w:spacing w:before="93"/>
              <w:ind w:left="0" w:right="19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61-63.49</w:t>
            </w:r>
          </w:p>
        </w:tc>
        <w:tc>
          <w:tcPr>
            <w:tcW w:w="566" w:type="dxa"/>
          </w:tcPr>
          <w:p w14:paraId="0360E5A0" w14:textId="77777777" w:rsidR="009858AB" w:rsidRPr="00792171" w:rsidRDefault="005E2260">
            <w:pPr>
              <w:pStyle w:val="P68B1DB1-TableParagraph4"/>
              <w:spacing w:before="93"/>
              <w:ind w:left="64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&lt; 61</w:t>
            </w:r>
            <w:proofErr w:type="gramEnd"/>
          </w:p>
        </w:tc>
      </w:tr>
      <w:tr w:rsidR="009858AB" w:rsidRPr="00792171" w14:paraId="0360E5AD" w14:textId="77777777">
        <w:trPr>
          <w:trHeight w:val="360"/>
        </w:trPr>
        <w:tc>
          <w:tcPr>
            <w:tcW w:w="2052" w:type="dxa"/>
            <w:gridSpan w:val="2"/>
          </w:tcPr>
          <w:p w14:paraId="0360E5A2" w14:textId="77777777" w:rsidR="009858AB" w:rsidRPr="00792171" w:rsidRDefault="005E2260">
            <w:pPr>
              <w:pStyle w:val="P68B1DB1-TableParagraph3"/>
              <w:spacing w:before="93"/>
              <w:ind w:left="544"/>
              <w:rPr>
                <w:sz w:val="24"/>
                <w:szCs w:val="24"/>
              </w:rPr>
            </w:pPr>
            <w:proofErr w:type="spellStart"/>
            <w:r w:rsidRPr="00792171">
              <w:rPr>
                <w:sz w:val="24"/>
                <w:szCs w:val="24"/>
              </w:rPr>
              <w:t>Success</w:t>
            </w:r>
            <w:proofErr w:type="spellEnd"/>
            <w:r w:rsidRPr="00792171">
              <w:rPr>
                <w:sz w:val="24"/>
                <w:szCs w:val="24"/>
              </w:rPr>
              <w:t xml:space="preserve"> Level</w:t>
            </w:r>
          </w:p>
        </w:tc>
        <w:tc>
          <w:tcPr>
            <w:tcW w:w="545" w:type="dxa"/>
          </w:tcPr>
          <w:p w14:paraId="0360E5A3" w14:textId="77777777" w:rsidR="009858AB" w:rsidRPr="00792171" w:rsidRDefault="005E2260">
            <w:pPr>
              <w:pStyle w:val="P68B1DB1-TableParagraph3"/>
              <w:spacing w:before="1"/>
              <w:ind w:left="162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95-</w:t>
            </w:r>
          </w:p>
          <w:p w14:paraId="0360E5A4" w14:textId="77777777" w:rsidR="009858AB" w:rsidRPr="00792171" w:rsidRDefault="005E2260">
            <w:pPr>
              <w:pStyle w:val="P68B1DB1-TableParagraph3"/>
              <w:spacing w:before="0" w:line="163" w:lineRule="exact"/>
              <w:ind w:left="148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100</w:t>
            </w:r>
          </w:p>
        </w:tc>
        <w:tc>
          <w:tcPr>
            <w:tcW w:w="698" w:type="dxa"/>
          </w:tcPr>
          <w:p w14:paraId="0360E5A5" w14:textId="77777777" w:rsidR="009858AB" w:rsidRPr="00792171" w:rsidRDefault="005E2260">
            <w:pPr>
              <w:pStyle w:val="P68B1DB1-TableParagraph3"/>
              <w:spacing w:before="93"/>
              <w:ind w:left="158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90-94</w:t>
            </w:r>
          </w:p>
        </w:tc>
        <w:tc>
          <w:tcPr>
            <w:tcW w:w="698" w:type="dxa"/>
          </w:tcPr>
          <w:p w14:paraId="0360E5A6" w14:textId="77777777" w:rsidR="009858AB" w:rsidRPr="00792171" w:rsidRDefault="005E2260">
            <w:pPr>
              <w:pStyle w:val="P68B1DB1-TableParagraph3"/>
              <w:spacing w:before="93"/>
              <w:ind w:left="158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85-89</w:t>
            </w:r>
          </w:p>
        </w:tc>
        <w:tc>
          <w:tcPr>
            <w:tcW w:w="970" w:type="dxa"/>
          </w:tcPr>
          <w:p w14:paraId="0360E5A7" w14:textId="77777777" w:rsidR="009858AB" w:rsidRPr="00792171" w:rsidRDefault="005E2260">
            <w:pPr>
              <w:pStyle w:val="P68B1DB1-TableParagraph3"/>
              <w:spacing w:before="93"/>
              <w:ind w:left="290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80-84</w:t>
            </w:r>
          </w:p>
        </w:tc>
        <w:tc>
          <w:tcPr>
            <w:tcW w:w="850" w:type="dxa"/>
          </w:tcPr>
          <w:p w14:paraId="0360E5A8" w14:textId="77777777" w:rsidR="009858AB" w:rsidRPr="00792171" w:rsidRDefault="005E2260">
            <w:pPr>
              <w:pStyle w:val="P68B1DB1-TableParagraph3"/>
              <w:spacing w:before="93"/>
              <w:ind w:left="0" w:right="22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75-79</w:t>
            </w:r>
          </w:p>
        </w:tc>
        <w:tc>
          <w:tcPr>
            <w:tcW w:w="850" w:type="dxa"/>
          </w:tcPr>
          <w:p w14:paraId="0360E5A9" w14:textId="77777777" w:rsidR="009858AB" w:rsidRPr="00792171" w:rsidRDefault="005E2260">
            <w:pPr>
              <w:pStyle w:val="P68B1DB1-TableParagraph3"/>
              <w:spacing w:before="93"/>
              <w:ind w:left="0" w:right="22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70-74</w:t>
            </w:r>
          </w:p>
        </w:tc>
        <w:tc>
          <w:tcPr>
            <w:tcW w:w="994" w:type="dxa"/>
          </w:tcPr>
          <w:p w14:paraId="0360E5AA" w14:textId="77777777" w:rsidR="009858AB" w:rsidRPr="00792171" w:rsidRDefault="005E2260">
            <w:pPr>
              <w:pStyle w:val="P68B1DB1-TableParagraph3"/>
              <w:spacing w:before="93"/>
              <w:ind w:left="304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65-69</w:t>
            </w:r>
          </w:p>
        </w:tc>
        <w:tc>
          <w:tcPr>
            <w:tcW w:w="850" w:type="dxa"/>
          </w:tcPr>
          <w:p w14:paraId="0360E5AB" w14:textId="77777777" w:rsidR="009858AB" w:rsidRPr="00792171" w:rsidRDefault="005E2260">
            <w:pPr>
              <w:pStyle w:val="P68B1DB1-TableParagraph3"/>
              <w:spacing w:before="93"/>
              <w:ind w:left="0" w:right="228"/>
              <w:jc w:val="right"/>
              <w:rPr>
                <w:sz w:val="24"/>
                <w:szCs w:val="24"/>
              </w:rPr>
            </w:pPr>
            <w:r w:rsidRPr="00792171">
              <w:rPr>
                <w:sz w:val="24"/>
                <w:szCs w:val="24"/>
              </w:rPr>
              <w:t>60-64</w:t>
            </w:r>
          </w:p>
        </w:tc>
        <w:tc>
          <w:tcPr>
            <w:tcW w:w="566" w:type="dxa"/>
          </w:tcPr>
          <w:p w14:paraId="0360E5AC" w14:textId="77777777" w:rsidR="009858AB" w:rsidRPr="00792171" w:rsidRDefault="005E2260">
            <w:pPr>
              <w:pStyle w:val="P68B1DB1-TableParagraph3"/>
              <w:spacing w:before="93"/>
              <w:ind w:left="131"/>
              <w:rPr>
                <w:sz w:val="24"/>
                <w:szCs w:val="24"/>
              </w:rPr>
            </w:pPr>
            <w:proofErr w:type="gramStart"/>
            <w:r w:rsidRPr="00792171">
              <w:rPr>
                <w:sz w:val="24"/>
                <w:szCs w:val="24"/>
              </w:rPr>
              <w:t>0 -</w:t>
            </w:r>
            <w:proofErr w:type="gramEnd"/>
            <w:r w:rsidRPr="00792171">
              <w:rPr>
                <w:sz w:val="24"/>
                <w:szCs w:val="24"/>
              </w:rPr>
              <w:t xml:space="preserve"> 59</w:t>
            </w:r>
          </w:p>
        </w:tc>
      </w:tr>
    </w:tbl>
    <w:p w14:paraId="0360E5AE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AF" w14:textId="77777777" w:rsidR="009858AB" w:rsidRPr="00792171" w:rsidRDefault="009858AB">
      <w:pPr>
        <w:pStyle w:val="GvdeMetni"/>
        <w:spacing w:before="11"/>
        <w:rPr>
          <w:sz w:val="24"/>
          <w:szCs w:val="24"/>
        </w:rPr>
      </w:pPr>
    </w:p>
    <w:p w14:paraId="0360E5B0" w14:textId="274C5420" w:rsidR="009858AB" w:rsidRPr="00792171" w:rsidRDefault="005E2260" w:rsidP="00792171">
      <w:pPr>
        <w:pStyle w:val="Balk1"/>
        <w:spacing w:before="91"/>
        <w:jc w:val="center"/>
        <w:rPr>
          <w:sz w:val="24"/>
          <w:szCs w:val="24"/>
        </w:rPr>
      </w:pPr>
      <w:proofErr w:type="spellStart"/>
      <w:r w:rsidRPr="00792171">
        <w:rPr>
          <w:sz w:val="24"/>
          <w:szCs w:val="24"/>
        </w:rPr>
        <w:t>Enforcement</w:t>
      </w:r>
      <w:proofErr w:type="spellEnd"/>
      <w:r w:rsidRPr="00792171">
        <w:rPr>
          <w:sz w:val="24"/>
          <w:szCs w:val="24"/>
        </w:rPr>
        <w:t xml:space="preserve"> </w:t>
      </w:r>
    </w:p>
    <w:p w14:paraId="771A23B1" w14:textId="77777777" w:rsidR="00792171" w:rsidRPr="00792171" w:rsidRDefault="005E2260">
      <w:pPr>
        <w:pStyle w:val="GvdeMetni"/>
        <w:ind w:left="116" w:firstLine="707"/>
        <w:rPr>
          <w:sz w:val="24"/>
          <w:szCs w:val="24"/>
        </w:rPr>
      </w:pPr>
      <w:proofErr w:type="spellStart"/>
      <w:r w:rsidRPr="00792171">
        <w:rPr>
          <w:b/>
          <w:sz w:val="24"/>
          <w:szCs w:val="24"/>
        </w:rPr>
        <w:t>Article</w:t>
      </w:r>
      <w:proofErr w:type="spellEnd"/>
      <w:r w:rsidRPr="00792171">
        <w:rPr>
          <w:b/>
          <w:sz w:val="24"/>
          <w:szCs w:val="24"/>
        </w:rPr>
        <w:t xml:space="preserve"> 8– </w:t>
      </w:r>
      <w:r w:rsidRPr="00792171">
        <w:rPr>
          <w:sz w:val="24"/>
          <w:szCs w:val="24"/>
        </w:rPr>
        <w:t xml:space="preserve">(1) </w:t>
      </w:r>
      <w:proofErr w:type="spellStart"/>
      <w:r w:rsidRPr="00792171">
        <w:rPr>
          <w:sz w:val="24"/>
          <w:szCs w:val="24"/>
        </w:rPr>
        <w:t>This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instruction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enters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into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force</w:t>
      </w:r>
      <w:proofErr w:type="spellEnd"/>
      <w:r w:rsidRPr="00792171">
        <w:rPr>
          <w:sz w:val="24"/>
          <w:szCs w:val="24"/>
        </w:rPr>
        <w:t xml:space="preserve"> on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date</w:t>
      </w:r>
      <w:proofErr w:type="spellEnd"/>
      <w:r w:rsidRPr="00792171">
        <w:rPr>
          <w:sz w:val="24"/>
          <w:szCs w:val="24"/>
        </w:rPr>
        <w:t xml:space="preserve"> it is </w:t>
      </w:r>
      <w:proofErr w:type="spellStart"/>
      <w:r w:rsidRPr="00792171">
        <w:rPr>
          <w:sz w:val="24"/>
          <w:szCs w:val="24"/>
        </w:rPr>
        <w:t>accepted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Istanbul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Medipol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proofErr w:type="gramStart"/>
      <w:r w:rsidRPr="00792171">
        <w:rPr>
          <w:sz w:val="24"/>
          <w:szCs w:val="24"/>
        </w:rPr>
        <w:t>Senate</w:t>
      </w:r>
      <w:proofErr w:type="spellEnd"/>
      <w:proofErr w:type="gramEnd"/>
      <w:r w:rsidRPr="00792171">
        <w:rPr>
          <w:sz w:val="24"/>
          <w:szCs w:val="24"/>
        </w:rPr>
        <w:t>.</w:t>
      </w:r>
      <w:r w:rsidR="00792171" w:rsidRPr="00792171">
        <w:rPr>
          <w:sz w:val="24"/>
          <w:szCs w:val="24"/>
        </w:rPr>
        <w:t xml:space="preserve"> </w:t>
      </w:r>
    </w:p>
    <w:p w14:paraId="41E4B93C" w14:textId="77777777" w:rsidR="00792171" w:rsidRPr="00792171" w:rsidRDefault="00792171">
      <w:pPr>
        <w:pStyle w:val="GvdeMetni"/>
        <w:ind w:left="116" w:firstLine="707"/>
        <w:rPr>
          <w:b/>
          <w:bCs/>
          <w:sz w:val="24"/>
          <w:szCs w:val="24"/>
        </w:rPr>
      </w:pPr>
    </w:p>
    <w:p w14:paraId="0360E5B1" w14:textId="40D837E2" w:rsidR="009858AB" w:rsidRPr="00792171" w:rsidRDefault="00792171" w:rsidP="00792171">
      <w:pPr>
        <w:pStyle w:val="GvdeMetni"/>
        <w:ind w:left="116" w:firstLine="707"/>
        <w:jc w:val="center"/>
        <w:rPr>
          <w:b/>
          <w:bCs/>
          <w:sz w:val="24"/>
          <w:szCs w:val="24"/>
        </w:rPr>
      </w:pPr>
      <w:proofErr w:type="spellStart"/>
      <w:r w:rsidRPr="00792171">
        <w:rPr>
          <w:b/>
          <w:bCs/>
          <w:sz w:val="24"/>
          <w:szCs w:val="24"/>
        </w:rPr>
        <w:t>Execution</w:t>
      </w:r>
      <w:proofErr w:type="spellEnd"/>
    </w:p>
    <w:p w14:paraId="0360E5B2" w14:textId="1A9E69E9" w:rsidR="009858AB" w:rsidRPr="00792171" w:rsidRDefault="00CA459E">
      <w:pPr>
        <w:pStyle w:val="GvdeMetni"/>
        <w:spacing w:before="2"/>
        <w:ind w:left="824"/>
        <w:rPr>
          <w:sz w:val="24"/>
          <w:szCs w:val="24"/>
        </w:rPr>
      </w:pPr>
      <w:r w:rsidRPr="00792171">
        <w:rPr>
          <w:b/>
          <w:sz w:val="24"/>
          <w:szCs w:val="24"/>
        </w:rPr>
        <w:t xml:space="preserve"> </w:t>
      </w:r>
      <w:r w:rsidR="005A03A3" w:rsidRPr="00792171">
        <w:rPr>
          <w:b/>
          <w:sz w:val="24"/>
          <w:szCs w:val="24"/>
        </w:rPr>
        <w:t>ARTICLE</w:t>
      </w:r>
      <w:r w:rsidR="005E2260" w:rsidRPr="00792171">
        <w:rPr>
          <w:b/>
          <w:sz w:val="24"/>
          <w:szCs w:val="24"/>
        </w:rPr>
        <w:t xml:space="preserve"> 9 – (1) </w:t>
      </w:r>
      <w:proofErr w:type="spellStart"/>
      <w:r w:rsidRPr="00792171">
        <w:rPr>
          <w:bCs/>
          <w:sz w:val="24"/>
          <w:szCs w:val="24"/>
        </w:rPr>
        <w:t>The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provisions</w:t>
      </w:r>
      <w:proofErr w:type="spellEnd"/>
      <w:r w:rsidRPr="00792171">
        <w:rPr>
          <w:bCs/>
          <w:sz w:val="24"/>
          <w:szCs w:val="24"/>
        </w:rPr>
        <w:t xml:space="preserve"> of </w:t>
      </w:r>
      <w:proofErr w:type="spellStart"/>
      <w:r w:rsidRPr="00792171">
        <w:rPr>
          <w:bCs/>
          <w:sz w:val="24"/>
          <w:szCs w:val="24"/>
        </w:rPr>
        <w:t>this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instruction</w:t>
      </w:r>
      <w:proofErr w:type="spellEnd"/>
      <w:r w:rsidRPr="00792171">
        <w:rPr>
          <w:bCs/>
          <w:sz w:val="24"/>
          <w:szCs w:val="24"/>
        </w:rPr>
        <w:t xml:space="preserve"> is </w:t>
      </w:r>
      <w:proofErr w:type="spellStart"/>
      <w:r w:rsidRPr="00792171">
        <w:rPr>
          <w:bCs/>
          <w:sz w:val="24"/>
          <w:szCs w:val="24"/>
        </w:rPr>
        <w:t>executed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by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the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Rector</w:t>
      </w:r>
      <w:proofErr w:type="spellEnd"/>
      <w:r w:rsidRPr="00792171">
        <w:rPr>
          <w:bCs/>
          <w:sz w:val="24"/>
          <w:szCs w:val="24"/>
        </w:rPr>
        <w:t xml:space="preserve"> of </w:t>
      </w:r>
      <w:proofErr w:type="spellStart"/>
      <w:r w:rsidRPr="00792171">
        <w:rPr>
          <w:bCs/>
          <w:sz w:val="24"/>
          <w:szCs w:val="24"/>
        </w:rPr>
        <w:t>Istanbul</w:t>
      </w:r>
      <w:proofErr w:type="spellEnd"/>
      <w:r w:rsidRPr="00792171">
        <w:rPr>
          <w:bCs/>
          <w:sz w:val="24"/>
          <w:szCs w:val="24"/>
        </w:rPr>
        <w:t xml:space="preserve"> </w:t>
      </w:r>
      <w:proofErr w:type="spellStart"/>
      <w:r w:rsidRPr="00792171">
        <w:rPr>
          <w:bCs/>
          <w:sz w:val="24"/>
          <w:szCs w:val="24"/>
        </w:rPr>
        <w:t>Me</w:t>
      </w:r>
      <w:r w:rsidR="005E2260" w:rsidRPr="00792171">
        <w:rPr>
          <w:bCs/>
          <w:sz w:val="24"/>
          <w:szCs w:val="24"/>
        </w:rPr>
        <w:t>dipol</w:t>
      </w:r>
      <w:proofErr w:type="spellEnd"/>
      <w:r w:rsidR="005E2260" w:rsidRPr="00792171">
        <w:rPr>
          <w:bCs/>
          <w:sz w:val="24"/>
          <w:szCs w:val="24"/>
        </w:rPr>
        <w:t xml:space="preserve"> </w:t>
      </w:r>
      <w:proofErr w:type="spellStart"/>
      <w:r w:rsidR="003B6EF1" w:rsidRPr="00792171">
        <w:rPr>
          <w:bCs/>
          <w:sz w:val="24"/>
          <w:szCs w:val="24"/>
        </w:rPr>
        <w:t>University</w:t>
      </w:r>
      <w:proofErr w:type="spellEnd"/>
      <w:r w:rsidR="003B6EF1" w:rsidRPr="00792171">
        <w:rPr>
          <w:bCs/>
          <w:sz w:val="24"/>
          <w:szCs w:val="24"/>
        </w:rPr>
        <w:t>.</w:t>
      </w:r>
    </w:p>
    <w:p w14:paraId="0360E5B3" w14:textId="77777777" w:rsidR="009858AB" w:rsidRPr="00792171" w:rsidRDefault="009858AB">
      <w:pPr>
        <w:pStyle w:val="GvdeMetni"/>
        <w:rPr>
          <w:sz w:val="24"/>
          <w:szCs w:val="24"/>
        </w:rPr>
      </w:pPr>
    </w:p>
    <w:p w14:paraId="0360E5B4" w14:textId="77777777" w:rsidR="009858AB" w:rsidRPr="00792171" w:rsidRDefault="005E2260">
      <w:pPr>
        <w:pStyle w:val="GvdeMetni"/>
        <w:ind w:left="116"/>
        <w:rPr>
          <w:sz w:val="24"/>
          <w:szCs w:val="24"/>
        </w:rPr>
      </w:pPr>
      <w:r w:rsidRPr="00792171">
        <w:rPr>
          <w:sz w:val="24"/>
          <w:szCs w:val="24"/>
        </w:rPr>
        <w:t>*</w:t>
      </w:r>
      <w:proofErr w:type="spellStart"/>
      <w:r w:rsidRPr="00792171">
        <w:rPr>
          <w:sz w:val="24"/>
          <w:szCs w:val="24"/>
        </w:rPr>
        <w:t>Accepted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by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the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University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Senate's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decision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dated</w:t>
      </w:r>
      <w:proofErr w:type="spellEnd"/>
      <w:r w:rsidRPr="00792171">
        <w:rPr>
          <w:sz w:val="24"/>
          <w:szCs w:val="24"/>
        </w:rPr>
        <w:t xml:space="preserve"> 09/10/2018 </w:t>
      </w:r>
      <w:proofErr w:type="spellStart"/>
      <w:r w:rsidRPr="00792171">
        <w:rPr>
          <w:sz w:val="24"/>
          <w:szCs w:val="24"/>
        </w:rPr>
        <w:t>and</w:t>
      </w:r>
      <w:proofErr w:type="spellEnd"/>
      <w:r w:rsidRPr="00792171">
        <w:rPr>
          <w:sz w:val="24"/>
          <w:szCs w:val="24"/>
        </w:rPr>
        <w:t xml:space="preserve"> </w:t>
      </w:r>
      <w:proofErr w:type="spellStart"/>
      <w:r w:rsidRPr="00792171">
        <w:rPr>
          <w:sz w:val="24"/>
          <w:szCs w:val="24"/>
        </w:rPr>
        <w:t>numbered</w:t>
      </w:r>
      <w:proofErr w:type="spellEnd"/>
      <w:r w:rsidRPr="00792171">
        <w:rPr>
          <w:sz w:val="24"/>
          <w:szCs w:val="24"/>
        </w:rPr>
        <w:t xml:space="preserve"> 2018/30-01.</w:t>
      </w:r>
    </w:p>
    <w:sectPr w:rsidR="009858AB" w:rsidRPr="00792171">
      <w:pgSz w:w="11910" w:h="16840"/>
      <w:pgMar w:top="132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888F" w14:textId="77777777" w:rsidR="005E2260" w:rsidRDefault="005E2260">
      <w:r>
        <w:separator/>
      </w:r>
    </w:p>
  </w:endnote>
  <w:endnote w:type="continuationSeparator" w:id="0">
    <w:p w14:paraId="105B391E" w14:textId="77777777" w:rsidR="005E2260" w:rsidRDefault="005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E5BF" w14:textId="77777777" w:rsidR="009858AB" w:rsidRDefault="00960271">
    <w:pPr>
      <w:pStyle w:val="GvdeMetni"/>
      <w:spacing w:line="14" w:lineRule="auto"/>
      <w:rPr>
        <w:sz w:val="20"/>
      </w:rPr>
    </w:pPr>
    <w:r>
      <w:pict w14:anchorId="0360E5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pt;margin-top:780.9pt;width:9.6pt;height:13.05pt;z-index:-251658752;mso-position-horizontal-relative:page;mso-position-vertical-relative:page" filled="f" stroked="f">
          <v:textbox inset="0,0,0,0">
            <w:txbxContent>
              <w:p w14:paraId="0360E5C1" w14:textId="77777777" w:rsidR="009858AB" w:rsidRDefault="005E2260">
                <w:pPr>
                  <w:pStyle w:val="GvdeMetni"/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BB39" w14:textId="77777777" w:rsidR="005E2260" w:rsidRDefault="005E2260">
      <w:r>
        <w:separator/>
      </w:r>
    </w:p>
  </w:footnote>
  <w:footnote w:type="continuationSeparator" w:id="0">
    <w:p w14:paraId="7A0453CE" w14:textId="77777777" w:rsidR="005E2260" w:rsidRDefault="005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065"/>
    <w:multiLevelType w:val="hybridMultilevel"/>
    <w:tmpl w:val="96942374"/>
    <w:lvl w:ilvl="0" w:tplc="64E07CF0">
      <w:start w:val="2"/>
      <w:numFmt w:val="decimal"/>
      <w:lvlText w:val="%1)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0B05796">
      <w:start w:val="1"/>
      <w:numFmt w:val="lowerLetter"/>
      <w:lvlText w:val="%2)"/>
      <w:lvlJc w:val="left"/>
      <w:pPr>
        <w:ind w:left="116" w:hanging="245"/>
        <w:jc w:val="left"/>
      </w:pPr>
      <w:rPr>
        <w:rFonts w:hint="default"/>
        <w:w w:val="100"/>
      </w:rPr>
    </w:lvl>
    <w:lvl w:ilvl="2" w:tplc="9FE49520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75582EA8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5A7E014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2B968FD8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F1862964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489E2906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2DF2E21C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1" w15:restartNumberingAfterBreak="0">
    <w:nsid w:val="373946FB"/>
    <w:multiLevelType w:val="hybridMultilevel"/>
    <w:tmpl w:val="C1C8A0E2"/>
    <w:lvl w:ilvl="0" w:tplc="6FD47A58">
      <w:start w:val="1"/>
      <w:numFmt w:val="upperRoman"/>
      <w:lvlText w:val="%1."/>
      <w:lvlJc w:val="left"/>
      <w:pPr>
        <w:ind w:left="116" w:hanging="224"/>
        <w:jc w:val="left"/>
      </w:pPr>
      <w:rPr>
        <w:rFonts w:hint="default"/>
        <w:spacing w:val="-4"/>
        <w:w w:val="100"/>
      </w:rPr>
    </w:lvl>
    <w:lvl w:ilvl="1" w:tplc="13E0BCE8">
      <w:numFmt w:val="bullet"/>
      <w:lvlText w:val="•"/>
      <w:lvlJc w:val="left"/>
      <w:pPr>
        <w:ind w:left="1038" w:hanging="224"/>
      </w:pPr>
      <w:rPr>
        <w:rFonts w:hint="default"/>
      </w:rPr>
    </w:lvl>
    <w:lvl w:ilvl="2" w:tplc="A5AE781E">
      <w:numFmt w:val="bullet"/>
      <w:lvlText w:val="•"/>
      <w:lvlJc w:val="left"/>
      <w:pPr>
        <w:ind w:left="1957" w:hanging="224"/>
      </w:pPr>
      <w:rPr>
        <w:rFonts w:hint="default"/>
      </w:rPr>
    </w:lvl>
    <w:lvl w:ilvl="3" w:tplc="B8E8128E">
      <w:numFmt w:val="bullet"/>
      <w:lvlText w:val="•"/>
      <w:lvlJc w:val="left"/>
      <w:pPr>
        <w:ind w:left="2875" w:hanging="224"/>
      </w:pPr>
      <w:rPr>
        <w:rFonts w:hint="default"/>
      </w:rPr>
    </w:lvl>
    <w:lvl w:ilvl="4" w:tplc="224E6214">
      <w:numFmt w:val="bullet"/>
      <w:lvlText w:val="•"/>
      <w:lvlJc w:val="left"/>
      <w:pPr>
        <w:ind w:left="3794" w:hanging="224"/>
      </w:pPr>
      <w:rPr>
        <w:rFonts w:hint="default"/>
      </w:rPr>
    </w:lvl>
    <w:lvl w:ilvl="5" w:tplc="0A0E2392">
      <w:numFmt w:val="bullet"/>
      <w:lvlText w:val="•"/>
      <w:lvlJc w:val="left"/>
      <w:pPr>
        <w:ind w:left="4713" w:hanging="224"/>
      </w:pPr>
      <w:rPr>
        <w:rFonts w:hint="default"/>
      </w:rPr>
    </w:lvl>
    <w:lvl w:ilvl="6" w:tplc="154E9FD8">
      <w:numFmt w:val="bullet"/>
      <w:lvlText w:val="•"/>
      <w:lvlJc w:val="left"/>
      <w:pPr>
        <w:ind w:left="5631" w:hanging="224"/>
      </w:pPr>
      <w:rPr>
        <w:rFonts w:hint="default"/>
      </w:rPr>
    </w:lvl>
    <w:lvl w:ilvl="7" w:tplc="9894F366">
      <w:numFmt w:val="bullet"/>
      <w:lvlText w:val="•"/>
      <w:lvlJc w:val="left"/>
      <w:pPr>
        <w:ind w:left="6550" w:hanging="224"/>
      </w:pPr>
      <w:rPr>
        <w:rFonts w:hint="default"/>
      </w:rPr>
    </w:lvl>
    <w:lvl w:ilvl="8" w:tplc="26F29F02">
      <w:numFmt w:val="bullet"/>
      <w:lvlText w:val="•"/>
      <w:lvlJc w:val="left"/>
      <w:pPr>
        <w:ind w:left="7469" w:hanging="224"/>
      </w:pPr>
      <w:rPr>
        <w:rFonts w:hint="default"/>
      </w:rPr>
    </w:lvl>
  </w:abstractNum>
  <w:abstractNum w:abstractNumId="2" w15:restartNumberingAfterBreak="0">
    <w:nsid w:val="3CCD4582"/>
    <w:multiLevelType w:val="hybridMultilevel"/>
    <w:tmpl w:val="905ED9EA"/>
    <w:lvl w:ilvl="0" w:tplc="81121702">
      <w:start w:val="2"/>
      <w:numFmt w:val="decimal"/>
      <w:lvlText w:val="%1)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A40FDE0">
      <w:numFmt w:val="bullet"/>
      <w:lvlText w:val="•"/>
      <w:lvlJc w:val="left"/>
      <w:pPr>
        <w:ind w:left="1038" w:hanging="365"/>
      </w:pPr>
      <w:rPr>
        <w:rFonts w:hint="default"/>
      </w:rPr>
    </w:lvl>
    <w:lvl w:ilvl="2" w:tplc="1EFC0A9A">
      <w:numFmt w:val="bullet"/>
      <w:lvlText w:val="•"/>
      <w:lvlJc w:val="left"/>
      <w:pPr>
        <w:ind w:left="1957" w:hanging="365"/>
      </w:pPr>
      <w:rPr>
        <w:rFonts w:hint="default"/>
      </w:rPr>
    </w:lvl>
    <w:lvl w:ilvl="3" w:tplc="FADC4D4C">
      <w:numFmt w:val="bullet"/>
      <w:lvlText w:val="•"/>
      <w:lvlJc w:val="left"/>
      <w:pPr>
        <w:ind w:left="2875" w:hanging="365"/>
      </w:pPr>
      <w:rPr>
        <w:rFonts w:hint="default"/>
      </w:rPr>
    </w:lvl>
    <w:lvl w:ilvl="4" w:tplc="F38CF3DA">
      <w:numFmt w:val="bullet"/>
      <w:lvlText w:val="•"/>
      <w:lvlJc w:val="left"/>
      <w:pPr>
        <w:ind w:left="3794" w:hanging="365"/>
      </w:pPr>
      <w:rPr>
        <w:rFonts w:hint="default"/>
      </w:rPr>
    </w:lvl>
    <w:lvl w:ilvl="5" w:tplc="A41A0570">
      <w:numFmt w:val="bullet"/>
      <w:lvlText w:val="•"/>
      <w:lvlJc w:val="left"/>
      <w:pPr>
        <w:ind w:left="4713" w:hanging="365"/>
      </w:pPr>
      <w:rPr>
        <w:rFonts w:hint="default"/>
      </w:rPr>
    </w:lvl>
    <w:lvl w:ilvl="6" w:tplc="0FB6F588">
      <w:numFmt w:val="bullet"/>
      <w:lvlText w:val="•"/>
      <w:lvlJc w:val="left"/>
      <w:pPr>
        <w:ind w:left="5631" w:hanging="365"/>
      </w:pPr>
      <w:rPr>
        <w:rFonts w:hint="default"/>
      </w:rPr>
    </w:lvl>
    <w:lvl w:ilvl="7" w:tplc="0BBEE822">
      <w:numFmt w:val="bullet"/>
      <w:lvlText w:val="•"/>
      <w:lvlJc w:val="left"/>
      <w:pPr>
        <w:ind w:left="6550" w:hanging="365"/>
      </w:pPr>
      <w:rPr>
        <w:rFonts w:hint="default"/>
      </w:rPr>
    </w:lvl>
    <w:lvl w:ilvl="8" w:tplc="E486AC0A">
      <w:numFmt w:val="bullet"/>
      <w:lvlText w:val="•"/>
      <w:lvlJc w:val="left"/>
      <w:pPr>
        <w:ind w:left="7469" w:hanging="365"/>
      </w:pPr>
      <w:rPr>
        <w:rFonts w:hint="default"/>
      </w:rPr>
    </w:lvl>
  </w:abstractNum>
  <w:abstractNum w:abstractNumId="3" w15:restartNumberingAfterBreak="0">
    <w:nsid w:val="67CD69AF"/>
    <w:multiLevelType w:val="hybridMultilevel"/>
    <w:tmpl w:val="7B025AFE"/>
    <w:lvl w:ilvl="0" w:tplc="53C298D4">
      <w:start w:val="1"/>
      <w:numFmt w:val="lowerLetter"/>
      <w:lvlText w:val="%1)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D4AA16E">
      <w:numFmt w:val="bullet"/>
      <w:lvlText w:val="•"/>
      <w:lvlJc w:val="left"/>
      <w:pPr>
        <w:ind w:left="1038" w:hanging="250"/>
      </w:pPr>
      <w:rPr>
        <w:rFonts w:hint="default"/>
      </w:rPr>
    </w:lvl>
    <w:lvl w:ilvl="2" w:tplc="965477B6">
      <w:numFmt w:val="bullet"/>
      <w:lvlText w:val="•"/>
      <w:lvlJc w:val="left"/>
      <w:pPr>
        <w:ind w:left="1957" w:hanging="250"/>
      </w:pPr>
      <w:rPr>
        <w:rFonts w:hint="default"/>
      </w:rPr>
    </w:lvl>
    <w:lvl w:ilvl="3" w:tplc="F2148674">
      <w:numFmt w:val="bullet"/>
      <w:lvlText w:val="•"/>
      <w:lvlJc w:val="left"/>
      <w:pPr>
        <w:ind w:left="2875" w:hanging="250"/>
      </w:pPr>
      <w:rPr>
        <w:rFonts w:hint="default"/>
      </w:rPr>
    </w:lvl>
    <w:lvl w:ilvl="4" w:tplc="8152AB96">
      <w:numFmt w:val="bullet"/>
      <w:lvlText w:val="•"/>
      <w:lvlJc w:val="left"/>
      <w:pPr>
        <w:ind w:left="3794" w:hanging="250"/>
      </w:pPr>
      <w:rPr>
        <w:rFonts w:hint="default"/>
      </w:rPr>
    </w:lvl>
    <w:lvl w:ilvl="5" w:tplc="4B8E1C76">
      <w:numFmt w:val="bullet"/>
      <w:lvlText w:val="•"/>
      <w:lvlJc w:val="left"/>
      <w:pPr>
        <w:ind w:left="4713" w:hanging="250"/>
      </w:pPr>
      <w:rPr>
        <w:rFonts w:hint="default"/>
      </w:rPr>
    </w:lvl>
    <w:lvl w:ilvl="6" w:tplc="3E48BF2C">
      <w:numFmt w:val="bullet"/>
      <w:lvlText w:val="•"/>
      <w:lvlJc w:val="left"/>
      <w:pPr>
        <w:ind w:left="5631" w:hanging="250"/>
      </w:pPr>
      <w:rPr>
        <w:rFonts w:hint="default"/>
      </w:rPr>
    </w:lvl>
    <w:lvl w:ilvl="7" w:tplc="6F326474">
      <w:numFmt w:val="bullet"/>
      <w:lvlText w:val="•"/>
      <w:lvlJc w:val="left"/>
      <w:pPr>
        <w:ind w:left="6550" w:hanging="250"/>
      </w:pPr>
      <w:rPr>
        <w:rFonts w:hint="default"/>
      </w:rPr>
    </w:lvl>
    <w:lvl w:ilvl="8" w:tplc="2DBC0F34">
      <w:numFmt w:val="bullet"/>
      <w:lvlText w:val="•"/>
      <w:lvlJc w:val="left"/>
      <w:pPr>
        <w:ind w:left="7469" w:hanging="25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0MzQ3M7I0MDIxMLBQ0lEKTi0uzszPAykwrQUAuVjediwAAAA="/>
  </w:docVars>
  <w:rsids>
    <w:rsidRoot w:val="009858AB"/>
    <w:rsid w:val="00200A4D"/>
    <w:rsid w:val="003B6EF1"/>
    <w:rsid w:val="004301AF"/>
    <w:rsid w:val="005A03A3"/>
    <w:rsid w:val="005E2260"/>
    <w:rsid w:val="006179F2"/>
    <w:rsid w:val="00792171"/>
    <w:rsid w:val="0084565D"/>
    <w:rsid w:val="008711AE"/>
    <w:rsid w:val="00960271"/>
    <w:rsid w:val="009858AB"/>
    <w:rsid w:val="00AB5BCF"/>
    <w:rsid w:val="00B43400"/>
    <w:rsid w:val="00CA459E"/>
    <w:rsid w:val="00F6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60E4E6"/>
  <w15:docId w15:val="{2FE9C1CE-A54A-47F5-8A1E-6157AD2F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52" w:lineRule="exact"/>
      <w:ind w:left="824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6" w:right="114" w:firstLine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7"/>
      <w:ind w:left="66"/>
    </w:p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BodyText2">
    <w:name w:val="P68B1DB1-BodyText2"/>
    <w:basedOn w:val="GvdeMetni"/>
    <w:rPr>
      <w:sz w:val="20"/>
    </w:rPr>
  </w:style>
  <w:style w:type="paragraph" w:customStyle="1" w:styleId="P68B1DB1-TableParagraph3">
    <w:name w:val="P68B1DB1-TableParagraph3"/>
    <w:basedOn w:val="TableParagraph"/>
    <w:rPr>
      <w:b/>
      <w:sz w:val="16"/>
    </w:rPr>
  </w:style>
  <w:style w:type="paragraph" w:customStyle="1" w:styleId="P68B1DB1-TableParagraph4">
    <w:name w:val="P68B1DB1-TableParagraph4"/>
    <w:basedOn w:val="TableParagraph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6765</Characters>
  <Application>Microsoft Office Word</Application>
  <DocSecurity>0</DocSecurity>
  <Lines>56</Lines>
  <Paragraphs>15</Paragraphs>
  <ScaleCrop>false</ScaleCrop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Pakize Yiğit</dc:creator>
  <cp:lastModifiedBy>Şebnem GÜNGÖR</cp:lastModifiedBy>
  <cp:revision>2</cp:revision>
  <dcterms:created xsi:type="dcterms:W3CDTF">2021-10-20T10:50:00Z</dcterms:created>
  <dcterms:modified xsi:type="dcterms:W3CDTF">2021-10-20T10:50:00Z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Office 365 için Microsoft® Word</vt:lpwstr>
  </property>
  <property fmtid="{D5CDD505-2E9C-101B-9397-08002B2CF9AE}" pid="4" name="LastSaved">
    <vt:filetime>2021-06-29T00:00:00Z</vt:filetime>
  </property>
</Properties>
</file>