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D0B1" w14:textId="77777777" w:rsidR="006D7877" w:rsidRPr="00D9106F" w:rsidRDefault="00AE2596" w:rsidP="00D9106F">
      <w:pPr>
        <w:pStyle w:val="Balk1"/>
        <w:spacing w:before="77" w:line="360" w:lineRule="auto"/>
        <w:ind w:left="4409" w:right="4407"/>
        <w:jc w:val="center"/>
        <w:rPr>
          <w:szCs w:val="24"/>
        </w:rPr>
      </w:pPr>
      <w:r w:rsidRPr="00D9106F">
        <w:rPr>
          <w:szCs w:val="24"/>
        </w:rPr>
        <w:t>T.C.</w:t>
      </w:r>
    </w:p>
    <w:p w14:paraId="62CCD0B2" w14:textId="1E63C36B" w:rsidR="006D7877" w:rsidRPr="00D9106F" w:rsidRDefault="00AE2596" w:rsidP="00D9106F">
      <w:pPr>
        <w:pStyle w:val="P68B1DB1-Normal1"/>
        <w:spacing w:before="139" w:line="360" w:lineRule="auto"/>
        <w:ind w:left="1880" w:right="1868" w:firstLine="664"/>
        <w:jc w:val="center"/>
        <w:rPr>
          <w:szCs w:val="24"/>
        </w:rPr>
      </w:pPr>
      <w:r w:rsidRPr="00D9106F">
        <w:rPr>
          <w:szCs w:val="24"/>
        </w:rPr>
        <w:t xml:space="preserve">ISTANBUL MEDIPOL UNIVERSITY </w:t>
      </w:r>
      <w:r w:rsidR="001B32DE" w:rsidRPr="00D9106F">
        <w:rPr>
          <w:szCs w:val="24"/>
        </w:rPr>
        <w:t>INCENTIVE INSTRUCTION</w:t>
      </w:r>
      <w:r w:rsidR="00C24C4E" w:rsidRPr="00D9106F">
        <w:rPr>
          <w:szCs w:val="24"/>
        </w:rPr>
        <w:t xml:space="preserve"> ON THE SCIENTIFIC ACTIVITIES</w:t>
      </w:r>
    </w:p>
    <w:p w14:paraId="62CCD0B3" w14:textId="77777777" w:rsidR="006D7877" w:rsidRPr="00D9106F" w:rsidRDefault="006D7877">
      <w:pPr>
        <w:pStyle w:val="GvdeMetni"/>
        <w:spacing w:before="9"/>
        <w:ind w:left="0"/>
        <w:jc w:val="left"/>
        <w:rPr>
          <w:b/>
          <w:szCs w:val="24"/>
        </w:rPr>
      </w:pPr>
    </w:p>
    <w:p w14:paraId="62CCD0B4" w14:textId="074C8085" w:rsidR="006D7877" w:rsidRPr="00D9106F" w:rsidRDefault="003A7A11" w:rsidP="00D9106F">
      <w:pPr>
        <w:pStyle w:val="P68B1DB1-Normal1"/>
        <w:spacing w:before="1"/>
        <w:ind w:left="824"/>
        <w:jc w:val="center"/>
        <w:rPr>
          <w:szCs w:val="24"/>
        </w:rPr>
      </w:pPr>
      <w:proofErr w:type="spellStart"/>
      <w:r w:rsidRPr="00D9106F">
        <w:rPr>
          <w:szCs w:val="24"/>
        </w:rPr>
        <w:t>Aim</w:t>
      </w:r>
      <w:proofErr w:type="spellEnd"/>
    </w:p>
    <w:p w14:paraId="62CCD0B5" w14:textId="490CE4D2" w:rsidR="006D7877" w:rsidRPr="00D9106F" w:rsidRDefault="00AE2596">
      <w:pPr>
        <w:pStyle w:val="GvdeMetni"/>
        <w:spacing w:before="139" w:line="360" w:lineRule="auto"/>
        <w:ind w:right="106" w:firstLine="706"/>
        <w:rPr>
          <w:szCs w:val="24"/>
        </w:rPr>
      </w:pPr>
      <w:r w:rsidRPr="00D9106F">
        <w:rPr>
          <w:b/>
          <w:szCs w:val="24"/>
        </w:rPr>
        <w:t>A</w:t>
      </w:r>
      <w:r w:rsidR="005121BC" w:rsidRPr="00D9106F">
        <w:rPr>
          <w:b/>
          <w:szCs w:val="24"/>
        </w:rPr>
        <w:t>RTICLE</w:t>
      </w:r>
      <w:r w:rsidRPr="00D9106F">
        <w:rPr>
          <w:b/>
          <w:szCs w:val="24"/>
        </w:rPr>
        <w:t xml:space="preserve"> </w:t>
      </w:r>
      <w:r w:rsidR="00877F42" w:rsidRPr="00D9106F">
        <w:rPr>
          <w:b/>
          <w:szCs w:val="24"/>
        </w:rPr>
        <w:t>1-</w:t>
      </w:r>
      <w:r w:rsidRPr="00D9106F">
        <w:rPr>
          <w:b/>
          <w:szCs w:val="24"/>
        </w:rPr>
        <w:t xml:space="preserve"> </w:t>
      </w:r>
      <w:r w:rsidRPr="00D9106F">
        <w:rPr>
          <w:szCs w:val="24"/>
        </w:rPr>
        <w:t xml:space="preserve">(1)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="003A7A11" w:rsidRPr="00D9106F">
        <w:rPr>
          <w:szCs w:val="24"/>
        </w:rPr>
        <w:t>aim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instruction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determine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methods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principles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given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those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conduct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assist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research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scientific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studies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(IMU) </w:t>
      </w:r>
      <w:proofErr w:type="spellStart"/>
      <w:r w:rsidRPr="00D9106F">
        <w:rPr>
          <w:szCs w:val="24"/>
        </w:rPr>
        <w:t>instructors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scanned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certain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systems</w:t>
      </w:r>
      <w:proofErr w:type="spellEnd"/>
      <w:r w:rsidRPr="00D9106F">
        <w:rPr>
          <w:szCs w:val="24"/>
        </w:rPr>
        <w:t>.</w:t>
      </w:r>
    </w:p>
    <w:p w14:paraId="62CCD0B6" w14:textId="77777777" w:rsidR="006D7877" w:rsidRPr="00D9106F" w:rsidRDefault="006D7877">
      <w:pPr>
        <w:pStyle w:val="GvdeMetni"/>
        <w:spacing w:before="9"/>
        <w:ind w:left="0"/>
        <w:jc w:val="left"/>
        <w:rPr>
          <w:szCs w:val="24"/>
        </w:rPr>
      </w:pPr>
    </w:p>
    <w:p w14:paraId="62CCD0B7" w14:textId="77777777" w:rsidR="006D7877" w:rsidRPr="00D9106F" w:rsidRDefault="00AE2596" w:rsidP="00D9106F">
      <w:pPr>
        <w:pStyle w:val="Balk1"/>
        <w:jc w:val="center"/>
        <w:rPr>
          <w:szCs w:val="24"/>
        </w:rPr>
      </w:pPr>
      <w:proofErr w:type="spellStart"/>
      <w:r w:rsidRPr="00D9106F">
        <w:rPr>
          <w:szCs w:val="24"/>
        </w:rPr>
        <w:t>Definitions</w:t>
      </w:r>
      <w:proofErr w:type="spellEnd"/>
    </w:p>
    <w:p w14:paraId="62CCD0B8" w14:textId="18C8506C" w:rsidR="006D7877" w:rsidRPr="00D9106F" w:rsidRDefault="005121BC">
      <w:pPr>
        <w:pStyle w:val="P68B1DB1-Normal2"/>
        <w:spacing w:before="135"/>
        <w:ind w:left="824"/>
        <w:rPr>
          <w:szCs w:val="24"/>
        </w:rPr>
      </w:pPr>
      <w:r w:rsidRPr="00D9106F">
        <w:rPr>
          <w:b/>
          <w:bCs/>
          <w:szCs w:val="24"/>
        </w:rPr>
        <w:t>ARTICLE</w:t>
      </w:r>
      <w:r w:rsidR="00AE2596" w:rsidRPr="00D9106F">
        <w:rPr>
          <w:b/>
          <w:bCs/>
          <w:szCs w:val="24"/>
        </w:rPr>
        <w:t xml:space="preserve"> </w:t>
      </w:r>
      <w:r w:rsidR="00877F42" w:rsidRPr="00D9106F">
        <w:rPr>
          <w:b/>
          <w:bCs/>
          <w:szCs w:val="24"/>
        </w:rPr>
        <w:t>2</w:t>
      </w:r>
      <w:r w:rsidR="00877F42" w:rsidRPr="00D9106F">
        <w:rPr>
          <w:b/>
          <w:szCs w:val="24"/>
        </w:rPr>
        <w:t>-</w:t>
      </w:r>
      <w:r w:rsidR="00AE2596" w:rsidRPr="00D9106F">
        <w:rPr>
          <w:b/>
          <w:szCs w:val="24"/>
        </w:rPr>
        <w:t xml:space="preserve"> </w:t>
      </w:r>
      <w:r w:rsidR="00AE2596" w:rsidRPr="00D9106F">
        <w:rPr>
          <w:szCs w:val="24"/>
        </w:rPr>
        <w:t xml:space="preserve">(1)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definitions</w:t>
      </w:r>
      <w:proofErr w:type="spellEnd"/>
      <w:r w:rsidR="00AE2596" w:rsidRPr="00D9106F">
        <w:rPr>
          <w:szCs w:val="24"/>
        </w:rPr>
        <w:t xml:space="preserve"> in </w:t>
      </w:r>
      <w:proofErr w:type="spellStart"/>
      <w:r w:rsidR="00AE2596" w:rsidRPr="00D9106F">
        <w:rPr>
          <w:szCs w:val="24"/>
        </w:rPr>
        <w:t>this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instruction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refer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to</w:t>
      </w:r>
      <w:proofErr w:type="spellEnd"/>
      <w:r w:rsidR="00AE2596" w:rsidRPr="00D9106F">
        <w:rPr>
          <w:szCs w:val="24"/>
        </w:rPr>
        <w:t>;</w:t>
      </w:r>
    </w:p>
    <w:p w14:paraId="62CCD0B9" w14:textId="77777777" w:rsidR="006D7877" w:rsidRPr="00D9106F" w:rsidRDefault="00AE2596">
      <w:pPr>
        <w:pStyle w:val="P68B1DB1-ListParagraph3"/>
        <w:numPr>
          <w:ilvl w:val="0"/>
          <w:numId w:val="6"/>
        </w:numPr>
        <w:tabs>
          <w:tab w:val="left" w:pos="1250"/>
        </w:tabs>
        <w:spacing w:before="139"/>
        <w:ind w:firstLine="852"/>
        <w:jc w:val="left"/>
        <w:rPr>
          <w:szCs w:val="24"/>
        </w:rPr>
      </w:pPr>
      <w:r w:rsidRPr="00D9106F">
        <w:rPr>
          <w:szCs w:val="24"/>
        </w:rPr>
        <w:t xml:space="preserve">IMU: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>,</w:t>
      </w:r>
    </w:p>
    <w:p w14:paraId="62CCD0BA" w14:textId="77777777" w:rsidR="006D7877" w:rsidRPr="00D9106F" w:rsidRDefault="00AE2596">
      <w:pPr>
        <w:pStyle w:val="P68B1DB1-ListParagraph3"/>
        <w:numPr>
          <w:ilvl w:val="0"/>
          <w:numId w:val="6"/>
        </w:numPr>
        <w:tabs>
          <w:tab w:val="left" w:pos="1250"/>
        </w:tabs>
        <w:spacing w:before="135"/>
        <w:ind w:firstLine="852"/>
        <w:jc w:val="left"/>
        <w:rPr>
          <w:szCs w:val="24"/>
        </w:rPr>
      </w:pPr>
      <w:r w:rsidRPr="00D9106F">
        <w:rPr>
          <w:szCs w:val="24"/>
        </w:rPr>
        <w:t xml:space="preserve">Board of Directors: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Board of Directors</w:t>
      </w:r>
    </w:p>
    <w:p w14:paraId="62CCD0BB" w14:textId="77777777" w:rsidR="006D7877" w:rsidRPr="00D9106F" w:rsidRDefault="00AE2596">
      <w:pPr>
        <w:pStyle w:val="P68B1DB1-ListParagraph3"/>
        <w:numPr>
          <w:ilvl w:val="0"/>
          <w:numId w:val="6"/>
        </w:numPr>
        <w:tabs>
          <w:tab w:val="left" w:pos="1250"/>
        </w:tabs>
        <w:spacing w:before="137" w:line="360" w:lineRule="auto"/>
        <w:ind w:right="104" w:firstLine="852"/>
        <w:jc w:val="both"/>
        <w:rPr>
          <w:szCs w:val="24"/>
        </w:rPr>
      </w:pPr>
      <w:proofErr w:type="spellStart"/>
      <w:r w:rsidRPr="00D9106F">
        <w:rPr>
          <w:szCs w:val="24"/>
        </w:rPr>
        <w:t>Lecturer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Lecturer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Lecturer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Research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Assistant</w:t>
      </w:r>
      <w:proofErr w:type="spellEnd"/>
      <w:r w:rsidRPr="00D9106F">
        <w:rPr>
          <w:szCs w:val="24"/>
        </w:rPr>
        <w:t xml:space="preserve"> at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>,</w:t>
      </w:r>
    </w:p>
    <w:p w14:paraId="62CCD0BC" w14:textId="77777777" w:rsidR="006D7877" w:rsidRPr="00D9106F" w:rsidRDefault="00AE2596">
      <w:pPr>
        <w:pStyle w:val="P68B1DB1-ListParagraph3"/>
        <w:numPr>
          <w:ilvl w:val="0"/>
          <w:numId w:val="6"/>
        </w:numPr>
        <w:tabs>
          <w:tab w:val="left" w:pos="1319"/>
        </w:tabs>
        <w:spacing w:line="360" w:lineRule="auto"/>
        <w:ind w:right="108" w:firstLine="852"/>
        <w:jc w:val="both"/>
        <w:rPr>
          <w:szCs w:val="24"/>
        </w:rPr>
      </w:pPr>
      <w:r w:rsidRPr="00D9106F">
        <w:rPr>
          <w:szCs w:val="24"/>
        </w:rPr>
        <w:t xml:space="preserve">Service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Designs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members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have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come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up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during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their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duties</w:t>
      </w:r>
      <w:proofErr w:type="spellEnd"/>
      <w:r w:rsidRPr="00D9106F">
        <w:rPr>
          <w:szCs w:val="24"/>
        </w:rPr>
        <w:t xml:space="preserve"> at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>,</w:t>
      </w:r>
    </w:p>
    <w:p w14:paraId="62CCD0BD" w14:textId="17D42EDE" w:rsidR="006D7877" w:rsidRPr="00D9106F" w:rsidRDefault="00AE2596">
      <w:pPr>
        <w:pStyle w:val="P68B1DB1-ListParagraph4"/>
        <w:numPr>
          <w:ilvl w:val="0"/>
          <w:numId w:val="6"/>
        </w:numPr>
        <w:tabs>
          <w:tab w:val="left" w:pos="1382"/>
        </w:tabs>
        <w:spacing w:before="8" w:line="360" w:lineRule="auto"/>
        <w:ind w:right="105" w:firstLine="852"/>
        <w:jc w:val="both"/>
        <w:rPr>
          <w:szCs w:val="24"/>
        </w:rPr>
      </w:pPr>
      <w:proofErr w:type="spellStart"/>
      <w:r w:rsidRPr="00D9106F">
        <w:rPr>
          <w:szCs w:val="24"/>
        </w:rPr>
        <w:t>Freelance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Designs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(patent,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model, </w:t>
      </w:r>
      <w:proofErr w:type="spellStart"/>
      <w:r w:rsidRPr="00D9106F">
        <w:rPr>
          <w:szCs w:val="24"/>
        </w:rPr>
        <w:t>etc</w:t>
      </w:r>
      <w:proofErr w:type="spellEnd"/>
      <w:r w:rsidRPr="00D9106F">
        <w:rPr>
          <w:szCs w:val="24"/>
        </w:rPr>
        <w:t xml:space="preserve">.)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does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consider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necessary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appropriate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an </w:t>
      </w:r>
      <w:proofErr w:type="spellStart"/>
      <w:r w:rsidRPr="00D9106F">
        <w:rPr>
          <w:szCs w:val="24"/>
        </w:rPr>
        <w:t>applicant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</w:t>
      </w:r>
      <w:r w:rsidR="00352395" w:rsidRPr="00D9106F">
        <w:rPr>
          <w:szCs w:val="24"/>
        </w:rPr>
        <w:t>s</w:t>
      </w:r>
      <w:r w:rsidRPr="00D9106F">
        <w:rPr>
          <w:szCs w:val="24"/>
        </w:rPr>
        <w:t>tor</w:t>
      </w:r>
      <w:proofErr w:type="spellEnd"/>
      <w:r w:rsidRPr="00D9106F">
        <w:rPr>
          <w:szCs w:val="24"/>
        </w:rPr>
        <w:t xml:space="preserve"> can </w:t>
      </w:r>
      <w:proofErr w:type="spellStart"/>
      <w:r w:rsidRPr="00D9106F">
        <w:rPr>
          <w:szCs w:val="24"/>
        </w:rPr>
        <w:t>make</w:t>
      </w:r>
      <w:proofErr w:type="spellEnd"/>
      <w:r w:rsidRPr="00D9106F">
        <w:rPr>
          <w:szCs w:val="24"/>
        </w:rPr>
        <w:t xml:space="preserve"> his </w:t>
      </w:r>
      <w:proofErr w:type="spellStart"/>
      <w:r w:rsidRPr="00D9106F">
        <w:rPr>
          <w:szCs w:val="24"/>
        </w:rPr>
        <w:t>application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r w:rsidR="00352395" w:rsidRPr="00D9106F">
        <w:rPr>
          <w:szCs w:val="24"/>
        </w:rPr>
        <w:t>’</w:t>
      </w:r>
      <w:r w:rsidRPr="00D9106F">
        <w:rPr>
          <w:szCs w:val="24"/>
        </w:rPr>
        <w:t>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Idea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Opinion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decided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belong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="00352395" w:rsidRPr="00D9106F">
        <w:rPr>
          <w:szCs w:val="24"/>
        </w:rPr>
        <w:t>u</w:t>
      </w:r>
      <w:r w:rsidRPr="00D9106F">
        <w:rPr>
          <w:szCs w:val="24"/>
        </w:rPr>
        <w:t>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Industrial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Property</w:t>
      </w:r>
      <w:proofErr w:type="spellEnd"/>
      <w:r w:rsidRPr="00D9106F">
        <w:rPr>
          <w:szCs w:val="24"/>
        </w:rPr>
        <w:t xml:space="preserve"> Board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deemed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necessary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an </w:t>
      </w:r>
      <w:proofErr w:type="spellStart"/>
      <w:r w:rsidRPr="00D9106F">
        <w:rPr>
          <w:szCs w:val="24"/>
        </w:rPr>
        <w:t>applicant</w:t>
      </w:r>
      <w:proofErr w:type="spellEnd"/>
      <w:r w:rsidRPr="00D9106F">
        <w:rPr>
          <w:szCs w:val="24"/>
        </w:rPr>
        <w:t>,</w:t>
      </w:r>
    </w:p>
    <w:p w14:paraId="62CCD0BE" w14:textId="7AAA18BA" w:rsidR="006D7877" w:rsidRPr="00D9106F" w:rsidRDefault="00AE2596">
      <w:pPr>
        <w:pStyle w:val="P68B1DB1-ListParagraph4"/>
        <w:numPr>
          <w:ilvl w:val="0"/>
          <w:numId w:val="6"/>
        </w:numPr>
        <w:tabs>
          <w:tab w:val="left" w:pos="1298"/>
        </w:tabs>
        <w:spacing w:before="8" w:line="360" w:lineRule="auto"/>
        <w:ind w:right="107" w:firstLine="912"/>
        <w:jc w:val="both"/>
        <w:rPr>
          <w:szCs w:val="24"/>
        </w:rPr>
      </w:pPr>
      <w:r w:rsidRPr="00D9106F">
        <w:rPr>
          <w:szCs w:val="24"/>
        </w:rPr>
        <w:t xml:space="preserve">Patent: </w:t>
      </w:r>
      <w:proofErr w:type="spellStart"/>
      <w:r w:rsidRPr="00D9106F">
        <w:rPr>
          <w:szCs w:val="24"/>
        </w:rPr>
        <w:t>It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refers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monopoly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right</w:t>
      </w:r>
      <w:proofErr w:type="spellEnd"/>
      <w:r w:rsidRPr="00D9106F">
        <w:rPr>
          <w:szCs w:val="24"/>
        </w:rPr>
        <w:t xml:space="preserve"> on </w:t>
      </w:r>
      <w:proofErr w:type="spellStart"/>
      <w:r w:rsidRPr="00D9106F">
        <w:rPr>
          <w:szCs w:val="24"/>
        </w:rPr>
        <w:t>intellectual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industrial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property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document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proving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right</w:t>
      </w:r>
      <w:proofErr w:type="spellEnd"/>
      <w:r w:rsidR="00352395" w:rsidRPr="00D9106F">
        <w:rPr>
          <w:szCs w:val="24"/>
        </w:rPr>
        <w:t xml:space="preserve">. </w:t>
      </w:r>
      <w:proofErr w:type="spellStart"/>
      <w:r w:rsidR="00352395" w:rsidRPr="00D9106F">
        <w:rPr>
          <w:szCs w:val="24"/>
        </w:rPr>
        <w:t>T</w:t>
      </w:r>
      <w:r w:rsidRPr="00D9106F">
        <w:rPr>
          <w:szCs w:val="24"/>
        </w:rPr>
        <w:t>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applicant</w:t>
      </w:r>
      <w:proofErr w:type="spellEnd"/>
      <w:r w:rsidRPr="00D9106F">
        <w:rPr>
          <w:szCs w:val="24"/>
        </w:rPr>
        <w:t xml:space="preserve"> is a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. Service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considered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same</w:t>
      </w:r>
      <w:proofErr w:type="spellEnd"/>
      <w:r w:rsidRPr="00D9106F">
        <w:rPr>
          <w:szCs w:val="24"/>
        </w:rPr>
        <w:t>.</w:t>
      </w:r>
    </w:p>
    <w:p w14:paraId="62CCD0BF" w14:textId="6A838497" w:rsidR="006D7877" w:rsidRPr="00D9106F" w:rsidRDefault="00AE2596">
      <w:pPr>
        <w:pStyle w:val="P68B1DB1-ListParagraph4"/>
        <w:numPr>
          <w:ilvl w:val="0"/>
          <w:numId w:val="6"/>
        </w:numPr>
        <w:tabs>
          <w:tab w:val="left" w:pos="1334"/>
        </w:tabs>
        <w:spacing w:line="360" w:lineRule="auto"/>
        <w:ind w:right="102" w:firstLine="912"/>
        <w:jc w:val="both"/>
        <w:rPr>
          <w:szCs w:val="24"/>
        </w:rPr>
      </w:pP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Model: </w:t>
      </w:r>
      <w:proofErr w:type="spellStart"/>
      <w:r w:rsidRPr="00D9106F">
        <w:rPr>
          <w:szCs w:val="24"/>
        </w:rPr>
        <w:t>It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refers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right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protection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where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applicant</w:t>
      </w:r>
      <w:proofErr w:type="spellEnd"/>
      <w:r w:rsidRPr="00D9106F">
        <w:rPr>
          <w:szCs w:val="24"/>
        </w:rPr>
        <w:t xml:space="preserve"> is a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cheaper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faster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a patent,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document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proving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right</w:t>
      </w:r>
      <w:proofErr w:type="spellEnd"/>
      <w:r w:rsidRPr="00D9106F">
        <w:rPr>
          <w:szCs w:val="24"/>
        </w:rPr>
        <w:t xml:space="preserve">. Service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treated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same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way</w:t>
      </w:r>
      <w:proofErr w:type="spellEnd"/>
      <w:r w:rsidRPr="00D9106F">
        <w:rPr>
          <w:szCs w:val="24"/>
        </w:rPr>
        <w:t>.</w:t>
      </w:r>
    </w:p>
    <w:p w14:paraId="62CCD0C0" w14:textId="77777777" w:rsidR="006D7877" w:rsidRPr="00D9106F" w:rsidRDefault="00AE2596">
      <w:pPr>
        <w:pStyle w:val="P68B1DB1-ListParagraph4"/>
        <w:numPr>
          <w:ilvl w:val="0"/>
          <w:numId w:val="6"/>
        </w:numPr>
        <w:tabs>
          <w:tab w:val="left" w:pos="1306"/>
        </w:tabs>
        <w:spacing w:before="7" w:line="360" w:lineRule="auto"/>
        <w:ind w:right="105" w:firstLine="912"/>
        <w:jc w:val="both"/>
        <w:rPr>
          <w:szCs w:val="24"/>
        </w:rPr>
      </w:pPr>
      <w:r w:rsidRPr="00D9106F">
        <w:rPr>
          <w:szCs w:val="24"/>
        </w:rPr>
        <w:t>Design</w:t>
      </w:r>
      <w:r w:rsidRPr="00D9106F">
        <w:rPr>
          <w:b/>
          <w:szCs w:val="24"/>
        </w:rPr>
        <w:t xml:space="preserve">: </w:t>
      </w:r>
      <w:r w:rsidRPr="00D9106F">
        <w:rPr>
          <w:szCs w:val="24"/>
        </w:rPr>
        <w:t xml:space="preserve">New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up-to-date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products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production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which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applicant</w:t>
      </w:r>
      <w:proofErr w:type="spellEnd"/>
      <w:r w:rsidRPr="00D9106F">
        <w:rPr>
          <w:szCs w:val="24"/>
        </w:rPr>
        <w:t xml:space="preserve"> is a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considering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various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criteria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such</w:t>
      </w:r>
      <w:proofErr w:type="spellEnd"/>
      <w:r w:rsidRPr="00D9106F">
        <w:rPr>
          <w:szCs w:val="24"/>
        </w:rPr>
        <w:t xml:space="preserve"> as </w:t>
      </w:r>
      <w:proofErr w:type="spellStart"/>
      <w:r w:rsidRPr="00D9106F">
        <w:rPr>
          <w:szCs w:val="24"/>
        </w:rPr>
        <w:t>aesthetics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creativity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technical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advantage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functionality</w:t>
      </w:r>
      <w:proofErr w:type="spellEnd"/>
      <w:r w:rsidRPr="00D9106F">
        <w:rPr>
          <w:szCs w:val="24"/>
        </w:rPr>
        <w:t xml:space="preserve">, </w:t>
      </w:r>
    </w:p>
    <w:p w14:paraId="62CCD0C1" w14:textId="77777777" w:rsidR="006D7877" w:rsidRPr="00D9106F" w:rsidRDefault="006D7877">
      <w:pPr>
        <w:spacing w:line="360" w:lineRule="auto"/>
        <w:jc w:val="both"/>
        <w:rPr>
          <w:sz w:val="24"/>
          <w:szCs w:val="24"/>
        </w:rPr>
        <w:sectPr w:rsidR="006D7877" w:rsidRPr="00D9106F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62CCD0C2" w14:textId="77777777" w:rsidR="006D7877" w:rsidRPr="00D9106F" w:rsidRDefault="00AE2596">
      <w:pPr>
        <w:pStyle w:val="P68B1DB1-BodyText5"/>
        <w:spacing w:before="77" w:line="360" w:lineRule="auto"/>
        <w:ind w:right="109"/>
        <w:rPr>
          <w:szCs w:val="24"/>
        </w:rPr>
      </w:pPr>
      <w:proofErr w:type="spellStart"/>
      <w:proofErr w:type="gramStart"/>
      <w:r w:rsidRPr="00D9106F">
        <w:rPr>
          <w:szCs w:val="24"/>
        </w:rPr>
        <w:lastRenderedPageBreak/>
        <w:t>ergonomics</w:t>
      </w:r>
      <w:proofErr w:type="spellEnd"/>
      <w:proofErr w:type="gram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material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knowledge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marketability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production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methods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possibilities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means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document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proving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right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arising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from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products</w:t>
      </w:r>
      <w:proofErr w:type="spellEnd"/>
      <w:r w:rsidRPr="00D9106F">
        <w:rPr>
          <w:szCs w:val="24"/>
        </w:rPr>
        <w:t xml:space="preserve">. Service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treated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same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way</w:t>
      </w:r>
      <w:proofErr w:type="spellEnd"/>
      <w:r w:rsidRPr="00D9106F">
        <w:rPr>
          <w:szCs w:val="24"/>
        </w:rPr>
        <w:t xml:space="preserve">. Service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treated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same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way</w:t>
      </w:r>
      <w:proofErr w:type="spellEnd"/>
      <w:r w:rsidRPr="00D9106F">
        <w:rPr>
          <w:szCs w:val="24"/>
        </w:rPr>
        <w:t>.</w:t>
      </w:r>
    </w:p>
    <w:p w14:paraId="62CCD0C3" w14:textId="77777777" w:rsidR="006D7877" w:rsidRPr="00D9106F" w:rsidRDefault="00AE2596">
      <w:pPr>
        <w:pStyle w:val="GvdeMetni"/>
        <w:spacing w:before="11"/>
        <w:ind w:left="968"/>
        <w:jc w:val="left"/>
        <w:rPr>
          <w:szCs w:val="24"/>
        </w:rPr>
      </w:pPr>
      <w:r w:rsidRPr="00D9106F">
        <w:rPr>
          <w:szCs w:val="24"/>
        </w:rPr>
        <w:t xml:space="preserve">ı)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Calendar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Refers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period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between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January</w:t>
      </w:r>
      <w:proofErr w:type="spellEnd"/>
      <w:r w:rsidRPr="00D9106F">
        <w:rPr>
          <w:szCs w:val="24"/>
        </w:rPr>
        <w:t xml:space="preserve"> 01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December</w:t>
      </w:r>
      <w:proofErr w:type="spellEnd"/>
      <w:r w:rsidRPr="00D9106F">
        <w:rPr>
          <w:szCs w:val="24"/>
        </w:rPr>
        <w:t xml:space="preserve"> 31.</w:t>
      </w:r>
    </w:p>
    <w:p w14:paraId="62CCD0C4" w14:textId="77777777" w:rsidR="006D7877" w:rsidRPr="00D9106F" w:rsidRDefault="00AE2596" w:rsidP="00D9106F">
      <w:pPr>
        <w:pStyle w:val="Balk1"/>
        <w:spacing w:before="135"/>
        <w:ind w:left="823"/>
        <w:jc w:val="center"/>
        <w:rPr>
          <w:szCs w:val="24"/>
        </w:rPr>
      </w:pPr>
      <w:proofErr w:type="spellStart"/>
      <w:r w:rsidRPr="00D9106F">
        <w:rPr>
          <w:szCs w:val="24"/>
        </w:rPr>
        <w:t>Types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Incentives</w:t>
      </w:r>
      <w:proofErr w:type="spellEnd"/>
    </w:p>
    <w:p w14:paraId="62CCD0C5" w14:textId="1D5B033D" w:rsidR="006D7877" w:rsidRPr="00D9106F" w:rsidRDefault="005121BC">
      <w:pPr>
        <w:pStyle w:val="GvdeMetni"/>
        <w:spacing w:before="137" w:line="360" w:lineRule="auto"/>
        <w:ind w:left="115" w:right="110" w:firstLine="706"/>
        <w:rPr>
          <w:szCs w:val="24"/>
        </w:rPr>
      </w:pPr>
      <w:r w:rsidRPr="00D9106F">
        <w:rPr>
          <w:b/>
          <w:szCs w:val="24"/>
        </w:rPr>
        <w:t>ARTICLE 3-</w:t>
      </w:r>
      <w:r w:rsidR="00AE2596" w:rsidRPr="00D9106F">
        <w:rPr>
          <w:b/>
          <w:szCs w:val="24"/>
        </w:rPr>
        <w:t xml:space="preserve"> </w:t>
      </w:r>
      <w:r w:rsidR="00AE2596" w:rsidRPr="00D9106F">
        <w:rPr>
          <w:szCs w:val="24"/>
        </w:rPr>
        <w:t xml:space="preserve">(1) IMU </w:t>
      </w:r>
      <w:proofErr w:type="spellStart"/>
      <w:r w:rsidR="00AE2596" w:rsidRPr="00D9106F">
        <w:rPr>
          <w:szCs w:val="24"/>
        </w:rPr>
        <w:t>Scientific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Activities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Incentives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are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evaluated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under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following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headings</w:t>
      </w:r>
      <w:proofErr w:type="spellEnd"/>
      <w:r w:rsidR="00AE2596" w:rsidRPr="00D9106F">
        <w:rPr>
          <w:szCs w:val="24"/>
        </w:rPr>
        <w:t>.</w:t>
      </w:r>
    </w:p>
    <w:p w14:paraId="62CCD0C6" w14:textId="528279C8" w:rsidR="006D7877" w:rsidRPr="00D9106F" w:rsidRDefault="00D9106F">
      <w:pPr>
        <w:pStyle w:val="ListeParagraf"/>
        <w:numPr>
          <w:ilvl w:val="0"/>
          <w:numId w:val="5"/>
        </w:numPr>
        <w:tabs>
          <w:tab w:val="left" w:pos="1110"/>
        </w:tabs>
        <w:spacing w:before="9" w:line="360" w:lineRule="auto"/>
        <w:ind w:right="107" w:firstLine="708"/>
        <w:jc w:val="both"/>
        <w:rPr>
          <w:sz w:val="24"/>
          <w:szCs w:val="24"/>
        </w:rPr>
      </w:pPr>
      <w:r w:rsidRPr="00D9106F">
        <w:rPr>
          <w:sz w:val="24"/>
          <w:szCs w:val="24"/>
        </w:rPr>
        <w:pict w14:anchorId="62CCD182">
          <v:line id="_x0000_s1026" style="position:absolute;left:0;text-align:left;z-index:-251658752;mso-position-horizontal-relative:page" from="324.5pt,13.25pt" to="327.5pt,13.25pt" strokeweight=".6pt">
            <w10:wrap anchorx="page"/>
          </v:line>
        </w:pict>
      </w:r>
      <w:proofErr w:type="spellStart"/>
      <w:r w:rsidR="00AE2596" w:rsidRPr="00D9106F">
        <w:rPr>
          <w:b/>
          <w:sz w:val="24"/>
          <w:szCs w:val="24"/>
        </w:rPr>
        <w:t>Scientific</w:t>
      </w:r>
      <w:proofErr w:type="spellEnd"/>
      <w:r w:rsidR="00AE2596" w:rsidRPr="00D9106F">
        <w:rPr>
          <w:b/>
          <w:sz w:val="24"/>
          <w:szCs w:val="24"/>
        </w:rPr>
        <w:t xml:space="preserve"> </w:t>
      </w:r>
      <w:proofErr w:type="spellStart"/>
      <w:r w:rsidR="00AE2596" w:rsidRPr="00D9106F">
        <w:rPr>
          <w:b/>
          <w:sz w:val="24"/>
          <w:szCs w:val="24"/>
        </w:rPr>
        <w:t>Publication</w:t>
      </w:r>
      <w:proofErr w:type="spellEnd"/>
      <w:r w:rsidR="00AE2596" w:rsidRPr="00D9106F">
        <w:rPr>
          <w:b/>
          <w:sz w:val="24"/>
          <w:szCs w:val="24"/>
        </w:rPr>
        <w:t xml:space="preserve"> </w:t>
      </w:r>
      <w:proofErr w:type="spellStart"/>
      <w:r w:rsidR="00AE2596" w:rsidRPr="00D9106F">
        <w:rPr>
          <w:b/>
          <w:sz w:val="24"/>
          <w:szCs w:val="24"/>
        </w:rPr>
        <w:t>Incentive</w:t>
      </w:r>
      <w:proofErr w:type="spellEnd"/>
      <w:r w:rsidR="00AE2596" w:rsidRPr="00D9106F">
        <w:rPr>
          <w:b/>
          <w:sz w:val="24"/>
          <w:szCs w:val="24"/>
        </w:rPr>
        <w:t xml:space="preserve">: </w:t>
      </w:r>
      <w:proofErr w:type="spellStart"/>
      <w:r w:rsidR="00AE2596" w:rsidRPr="00D9106F">
        <w:rPr>
          <w:sz w:val="24"/>
          <w:szCs w:val="24"/>
        </w:rPr>
        <w:t>Scientific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publications</w:t>
      </w:r>
      <w:proofErr w:type="spellEnd"/>
      <w:r w:rsidR="00AE2596" w:rsidRPr="00D9106F">
        <w:rPr>
          <w:sz w:val="24"/>
          <w:szCs w:val="24"/>
        </w:rPr>
        <w:t xml:space="preserve"> (</w:t>
      </w:r>
      <w:proofErr w:type="spellStart"/>
      <w:r w:rsidR="00AE2596" w:rsidRPr="00D9106F">
        <w:rPr>
          <w:sz w:val="24"/>
          <w:szCs w:val="24"/>
        </w:rPr>
        <w:t>article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review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case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report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letter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letter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to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the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editor</w:t>
      </w:r>
      <w:proofErr w:type="spellEnd"/>
      <w:r w:rsidR="00AE2596" w:rsidRPr="00D9106F">
        <w:rPr>
          <w:sz w:val="24"/>
          <w:szCs w:val="24"/>
        </w:rPr>
        <w:t xml:space="preserve">) </w:t>
      </w:r>
      <w:proofErr w:type="spellStart"/>
      <w:r w:rsidR="00AE2596" w:rsidRPr="00D9106F">
        <w:rPr>
          <w:sz w:val="24"/>
          <w:szCs w:val="24"/>
        </w:rPr>
        <w:t>with</w:t>
      </w:r>
      <w:proofErr w:type="spellEnd"/>
      <w:r w:rsidR="00AE2596" w:rsidRPr="00D9106F">
        <w:rPr>
          <w:sz w:val="24"/>
          <w:szCs w:val="24"/>
        </w:rPr>
        <w:t xml:space="preserve"> </w:t>
      </w:r>
      <w:r w:rsidR="00352395" w:rsidRPr="00D9106F">
        <w:rPr>
          <w:sz w:val="24"/>
          <w:szCs w:val="24"/>
        </w:rPr>
        <w:t xml:space="preserve">a </w:t>
      </w:r>
      <w:proofErr w:type="spellStart"/>
      <w:r w:rsidR="00AE2596" w:rsidRPr="00D9106F">
        <w:rPr>
          <w:sz w:val="24"/>
          <w:szCs w:val="24"/>
        </w:rPr>
        <w:t>full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text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published</w:t>
      </w:r>
      <w:proofErr w:type="spellEnd"/>
      <w:r w:rsidR="00AE2596" w:rsidRPr="00D9106F">
        <w:rPr>
          <w:sz w:val="24"/>
          <w:szCs w:val="24"/>
        </w:rPr>
        <w:t xml:space="preserve"> in </w:t>
      </w:r>
      <w:proofErr w:type="spellStart"/>
      <w:r w:rsidR="00AE2596" w:rsidRPr="00D9106F">
        <w:rPr>
          <w:sz w:val="24"/>
          <w:szCs w:val="24"/>
        </w:rPr>
        <w:t>journals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scanned</w:t>
      </w:r>
      <w:proofErr w:type="spellEnd"/>
      <w:r w:rsidR="00AE2596" w:rsidRPr="00D9106F">
        <w:rPr>
          <w:sz w:val="24"/>
          <w:szCs w:val="24"/>
        </w:rPr>
        <w:t xml:space="preserve"> in Web of </w:t>
      </w:r>
      <w:proofErr w:type="spellStart"/>
      <w:r w:rsidR="00AE2596" w:rsidRPr="00D9106F">
        <w:rPr>
          <w:sz w:val="24"/>
          <w:szCs w:val="24"/>
        </w:rPr>
        <w:t>Science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Scopus</w:t>
      </w:r>
      <w:proofErr w:type="spellEnd"/>
      <w:r w:rsidR="00AE2596" w:rsidRPr="00D9106F">
        <w:rPr>
          <w:sz w:val="24"/>
          <w:szCs w:val="24"/>
        </w:rPr>
        <w:t xml:space="preserve">, ESCI </w:t>
      </w:r>
      <w:proofErr w:type="spellStart"/>
      <w:r w:rsidR="00AE2596" w:rsidRPr="00D9106F">
        <w:rPr>
          <w:sz w:val="24"/>
          <w:szCs w:val="24"/>
        </w:rPr>
        <w:t>and</w:t>
      </w:r>
      <w:proofErr w:type="spellEnd"/>
      <w:r w:rsidR="00AE2596" w:rsidRPr="00D9106F">
        <w:rPr>
          <w:sz w:val="24"/>
          <w:szCs w:val="24"/>
        </w:rPr>
        <w:t>/</w:t>
      </w:r>
      <w:proofErr w:type="spellStart"/>
      <w:r w:rsidR="00AE2596" w:rsidRPr="00D9106F">
        <w:rPr>
          <w:sz w:val="24"/>
          <w:szCs w:val="24"/>
        </w:rPr>
        <w:t>or</w:t>
      </w:r>
      <w:proofErr w:type="spellEnd"/>
      <w:r w:rsidR="00AE2596" w:rsidRPr="00D9106F">
        <w:rPr>
          <w:sz w:val="24"/>
          <w:szCs w:val="24"/>
        </w:rPr>
        <w:t xml:space="preserve"> ULAKBİM </w:t>
      </w:r>
      <w:proofErr w:type="spellStart"/>
      <w:r w:rsidR="00AE2596" w:rsidRPr="00D9106F">
        <w:rPr>
          <w:sz w:val="24"/>
          <w:szCs w:val="24"/>
        </w:rPr>
        <w:t>database</w:t>
      </w:r>
      <w:proofErr w:type="spellEnd"/>
      <w:r w:rsidR="00AE2596" w:rsidRPr="00D9106F">
        <w:rPr>
          <w:sz w:val="24"/>
          <w:szCs w:val="24"/>
        </w:rPr>
        <w:t>.</w:t>
      </w:r>
    </w:p>
    <w:p w14:paraId="62CCD0C7" w14:textId="57A47FB3" w:rsidR="006D7877" w:rsidRPr="00D9106F" w:rsidRDefault="00AE2596">
      <w:pPr>
        <w:pStyle w:val="P68B1DB1-ListParagraph3"/>
        <w:numPr>
          <w:ilvl w:val="0"/>
          <w:numId w:val="5"/>
        </w:numPr>
        <w:tabs>
          <w:tab w:val="left" w:pos="1098"/>
        </w:tabs>
        <w:spacing w:before="7"/>
        <w:ind w:left="1097" w:hanging="273"/>
        <w:rPr>
          <w:szCs w:val="24"/>
        </w:rPr>
      </w:pPr>
      <w:proofErr w:type="spellStart"/>
      <w:r w:rsidRPr="00D9106F">
        <w:rPr>
          <w:b/>
          <w:szCs w:val="24"/>
        </w:rPr>
        <w:t>Book</w:t>
      </w:r>
      <w:proofErr w:type="spellEnd"/>
      <w:r w:rsidRPr="00D9106F">
        <w:rPr>
          <w:b/>
          <w:szCs w:val="24"/>
        </w:rPr>
        <w:t>/</w:t>
      </w:r>
      <w:proofErr w:type="spellStart"/>
      <w:r w:rsidRPr="00D9106F">
        <w:rPr>
          <w:b/>
          <w:szCs w:val="24"/>
        </w:rPr>
        <w:t>Book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Chapter</w:t>
      </w:r>
      <w:proofErr w:type="spellEnd"/>
      <w:r w:rsidRPr="00D9106F">
        <w:rPr>
          <w:b/>
          <w:szCs w:val="24"/>
        </w:rPr>
        <w:t xml:space="preserve"> Authoring </w:t>
      </w:r>
      <w:proofErr w:type="spellStart"/>
      <w:r w:rsidRPr="00D9106F">
        <w:rPr>
          <w:b/>
          <w:szCs w:val="24"/>
        </w:rPr>
        <w:t>Incentive</w:t>
      </w:r>
      <w:proofErr w:type="spellEnd"/>
      <w:r w:rsidRPr="00D9106F">
        <w:rPr>
          <w:b/>
          <w:szCs w:val="24"/>
        </w:rPr>
        <w:t xml:space="preserve">: </w:t>
      </w:r>
      <w:proofErr w:type="spellStart"/>
      <w:r w:rsidRPr="00D9106F">
        <w:rPr>
          <w:szCs w:val="24"/>
        </w:rPr>
        <w:t>Regarding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person</w:t>
      </w:r>
      <w:r w:rsidR="00352395" w:rsidRPr="00D9106F">
        <w:rPr>
          <w:szCs w:val="24"/>
        </w:rPr>
        <w:t>’</w:t>
      </w:r>
      <w:r w:rsidRPr="00D9106F">
        <w:rPr>
          <w:szCs w:val="24"/>
        </w:rPr>
        <w:t>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area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expertise</w:t>
      </w:r>
      <w:proofErr w:type="spellEnd"/>
      <w:r w:rsidRPr="00D9106F">
        <w:rPr>
          <w:szCs w:val="24"/>
        </w:rPr>
        <w:t>,</w:t>
      </w:r>
    </w:p>
    <w:p w14:paraId="62CCD0C8" w14:textId="7286E131" w:rsidR="006D7877" w:rsidRPr="00D9106F" w:rsidRDefault="00AE2596">
      <w:pPr>
        <w:pStyle w:val="P68B1DB1-ListParagraph3"/>
        <w:numPr>
          <w:ilvl w:val="0"/>
          <w:numId w:val="4"/>
        </w:numPr>
        <w:tabs>
          <w:tab w:val="left" w:pos="1000"/>
        </w:tabs>
        <w:spacing w:before="140" w:line="360" w:lineRule="auto"/>
        <w:ind w:right="104" w:firstLine="708"/>
        <w:jc w:val="both"/>
        <w:rPr>
          <w:szCs w:val="24"/>
        </w:rPr>
      </w:pPr>
      <w:proofErr w:type="spellStart"/>
      <w:r w:rsidRPr="00D9106F">
        <w:rPr>
          <w:i/>
          <w:szCs w:val="24"/>
        </w:rPr>
        <w:t>National</w:t>
      </w:r>
      <w:proofErr w:type="spellEnd"/>
      <w:r w:rsidRPr="00D9106F">
        <w:rPr>
          <w:i/>
          <w:szCs w:val="24"/>
        </w:rPr>
        <w:t xml:space="preserve"> </w:t>
      </w:r>
      <w:proofErr w:type="spellStart"/>
      <w:r w:rsidRPr="00D9106F">
        <w:rPr>
          <w:i/>
          <w:szCs w:val="24"/>
        </w:rPr>
        <w:t>Book</w:t>
      </w:r>
      <w:proofErr w:type="spellEnd"/>
      <w:r w:rsidRPr="00D9106F">
        <w:rPr>
          <w:i/>
          <w:szCs w:val="24"/>
        </w:rPr>
        <w:t>/</w:t>
      </w:r>
      <w:proofErr w:type="spellStart"/>
      <w:r w:rsidRPr="00D9106F">
        <w:rPr>
          <w:i/>
          <w:szCs w:val="24"/>
        </w:rPr>
        <w:t>Book</w:t>
      </w:r>
      <w:proofErr w:type="spellEnd"/>
      <w:r w:rsidRPr="00D9106F">
        <w:rPr>
          <w:i/>
          <w:szCs w:val="24"/>
        </w:rPr>
        <w:t xml:space="preserve"> </w:t>
      </w:r>
      <w:proofErr w:type="spellStart"/>
      <w:r w:rsidRPr="00D9106F">
        <w:rPr>
          <w:i/>
          <w:szCs w:val="24"/>
        </w:rPr>
        <w:t>Chapter</w:t>
      </w:r>
      <w:proofErr w:type="spellEnd"/>
      <w:r w:rsidRPr="00D9106F">
        <w:rPr>
          <w:i/>
          <w:szCs w:val="24"/>
        </w:rPr>
        <w:t xml:space="preserve"> </w:t>
      </w:r>
      <w:proofErr w:type="spellStart"/>
      <w:r w:rsidRPr="00D9106F">
        <w:rPr>
          <w:i/>
          <w:szCs w:val="24"/>
        </w:rPr>
        <w:t>Authorship</w:t>
      </w:r>
      <w:proofErr w:type="spellEnd"/>
      <w:r w:rsidRPr="00D9106F">
        <w:rPr>
          <w:i/>
          <w:szCs w:val="24"/>
        </w:rPr>
        <w:t xml:space="preserve">: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editorship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translation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editorships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IMU </w:t>
      </w:r>
      <w:proofErr w:type="spellStart"/>
      <w:r w:rsidRPr="00D9106F">
        <w:rPr>
          <w:szCs w:val="24"/>
        </w:rPr>
        <w:t>address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ISBN,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bookstores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whose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quality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prestige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recognized</w:t>
      </w:r>
      <w:proofErr w:type="spellEnd"/>
      <w:r w:rsidRPr="00D9106F">
        <w:rPr>
          <w:szCs w:val="24"/>
        </w:rPr>
        <w:t xml:space="preserve"> at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level</w:t>
      </w:r>
      <w:proofErr w:type="spellEnd"/>
      <w:r w:rsidRPr="00D9106F">
        <w:rPr>
          <w:szCs w:val="24"/>
        </w:rPr>
        <w:t>.</w:t>
      </w:r>
    </w:p>
    <w:p w14:paraId="62CCD0C9" w14:textId="77777777" w:rsidR="006D7877" w:rsidRPr="00D9106F" w:rsidRDefault="00AE2596">
      <w:pPr>
        <w:pStyle w:val="P68B1DB1-ListParagraph3"/>
        <w:numPr>
          <w:ilvl w:val="0"/>
          <w:numId w:val="4"/>
        </w:numPr>
        <w:tabs>
          <w:tab w:val="left" w:pos="1110"/>
        </w:tabs>
        <w:spacing w:before="8" w:line="360" w:lineRule="auto"/>
        <w:ind w:right="107" w:firstLine="708"/>
        <w:jc w:val="both"/>
        <w:rPr>
          <w:szCs w:val="24"/>
        </w:rPr>
      </w:pPr>
      <w:r w:rsidRPr="00D9106F">
        <w:rPr>
          <w:i/>
          <w:szCs w:val="24"/>
        </w:rPr>
        <w:t xml:space="preserve">International </w:t>
      </w:r>
      <w:proofErr w:type="spellStart"/>
      <w:r w:rsidRPr="00D9106F">
        <w:rPr>
          <w:i/>
          <w:szCs w:val="24"/>
        </w:rPr>
        <w:t>Book</w:t>
      </w:r>
      <w:proofErr w:type="spellEnd"/>
      <w:r w:rsidRPr="00D9106F">
        <w:rPr>
          <w:i/>
          <w:szCs w:val="24"/>
        </w:rPr>
        <w:t>/</w:t>
      </w:r>
      <w:proofErr w:type="spellStart"/>
      <w:r w:rsidRPr="00D9106F">
        <w:rPr>
          <w:i/>
          <w:szCs w:val="24"/>
        </w:rPr>
        <w:t>Book</w:t>
      </w:r>
      <w:proofErr w:type="spellEnd"/>
      <w:r w:rsidRPr="00D9106F">
        <w:rPr>
          <w:i/>
          <w:szCs w:val="24"/>
        </w:rPr>
        <w:t xml:space="preserve"> </w:t>
      </w:r>
      <w:proofErr w:type="spellStart"/>
      <w:r w:rsidRPr="00D9106F">
        <w:rPr>
          <w:i/>
          <w:szCs w:val="24"/>
        </w:rPr>
        <w:t>Chapter</w:t>
      </w:r>
      <w:proofErr w:type="spellEnd"/>
      <w:r w:rsidRPr="00D9106F">
        <w:rPr>
          <w:i/>
          <w:szCs w:val="24"/>
        </w:rPr>
        <w:t xml:space="preserve"> </w:t>
      </w:r>
      <w:proofErr w:type="spellStart"/>
      <w:r w:rsidRPr="00D9106F">
        <w:rPr>
          <w:i/>
          <w:szCs w:val="24"/>
        </w:rPr>
        <w:t>Authorship</w:t>
      </w:r>
      <w:proofErr w:type="spellEnd"/>
      <w:r w:rsidRPr="00D9106F">
        <w:rPr>
          <w:i/>
          <w:szCs w:val="24"/>
        </w:rPr>
        <w:t xml:space="preserve">: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editorship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an </w:t>
      </w:r>
      <w:proofErr w:type="spellStart"/>
      <w:r w:rsidRPr="00D9106F">
        <w:rPr>
          <w:szCs w:val="24"/>
        </w:rPr>
        <w:t>address</w:t>
      </w:r>
      <w:proofErr w:type="spellEnd"/>
      <w:r w:rsidRPr="00D9106F">
        <w:rPr>
          <w:szCs w:val="24"/>
        </w:rPr>
        <w:t xml:space="preserve"> of IMU,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in an </w:t>
      </w:r>
      <w:proofErr w:type="spellStart"/>
      <w:r w:rsidRPr="00D9106F">
        <w:rPr>
          <w:szCs w:val="24"/>
        </w:rPr>
        <w:t>international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foreign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language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Web Of </w:t>
      </w:r>
      <w:proofErr w:type="spellStart"/>
      <w:r w:rsidRPr="00D9106F">
        <w:rPr>
          <w:szCs w:val="24"/>
        </w:rPr>
        <w:t>Science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/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Scopus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database</w:t>
      </w:r>
      <w:proofErr w:type="spellEnd"/>
    </w:p>
    <w:p w14:paraId="62CCD0CA" w14:textId="3B7A1873" w:rsidR="006D7877" w:rsidRPr="00D9106F" w:rsidRDefault="00AE2596">
      <w:pPr>
        <w:pStyle w:val="P68B1DB1-ListParagraph3"/>
        <w:numPr>
          <w:ilvl w:val="0"/>
          <w:numId w:val="5"/>
        </w:numPr>
        <w:tabs>
          <w:tab w:val="left" w:pos="1151"/>
        </w:tabs>
        <w:spacing w:before="11" w:line="360" w:lineRule="auto"/>
        <w:ind w:right="106" w:firstLine="708"/>
        <w:jc w:val="both"/>
        <w:rPr>
          <w:szCs w:val="24"/>
        </w:rPr>
      </w:pPr>
      <w:proofErr w:type="spellStart"/>
      <w:r w:rsidRPr="00D9106F">
        <w:rPr>
          <w:b/>
          <w:szCs w:val="24"/>
        </w:rPr>
        <w:t>Congress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notice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etc</w:t>
      </w:r>
      <w:proofErr w:type="spellEnd"/>
      <w:r w:rsidRPr="00D9106F">
        <w:rPr>
          <w:b/>
          <w:szCs w:val="24"/>
        </w:rPr>
        <w:t>.</w:t>
      </w:r>
      <w:r w:rsidR="00352395" w:rsidRPr="00D9106F">
        <w:rPr>
          <w:b/>
          <w:szCs w:val="24"/>
        </w:rPr>
        <w:t>,</w:t>
      </w:r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scientific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activities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scientific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Web of </w:t>
      </w:r>
      <w:proofErr w:type="spellStart"/>
      <w:r w:rsidRPr="00D9106F">
        <w:rPr>
          <w:szCs w:val="24"/>
        </w:rPr>
        <w:t>Science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database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scope</w:t>
      </w:r>
      <w:proofErr w:type="spellEnd"/>
      <w:r w:rsidRPr="00D9106F">
        <w:rPr>
          <w:szCs w:val="24"/>
        </w:rPr>
        <w:t>.</w:t>
      </w:r>
    </w:p>
    <w:p w14:paraId="62CCD0CB" w14:textId="77777777" w:rsidR="006D7877" w:rsidRPr="00D9106F" w:rsidRDefault="00AE2596" w:rsidP="00D9106F">
      <w:pPr>
        <w:pStyle w:val="Balk1"/>
        <w:spacing w:before="11"/>
        <w:jc w:val="center"/>
        <w:rPr>
          <w:szCs w:val="24"/>
        </w:rPr>
      </w:pP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Application </w:t>
      </w:r>
      <w:proofErr w:type="spellStart"/>
      <w:r w:rsidRPr="00D9106F">
        <w:rPr>
          <w:szCs w:val="24"/>
        </w:rPr>
        <w:t>Principles</w:t>
      </w:r>
      <w:proofErr w:type="spellEnd"/>
    </w:p>
    <w:p w14:paraId="62CCD0CC" w14:textId="5CCF21F0" w:rsidR="006D7877" w:rsidRPr="00D9106F" w:rsidRDefault="005121BC">
      <w:pPr>
        <w:pStyle w:val="P68B1DB1-Normal1"/>
        <w:spacing w:before="136"/>
        <w:ind w:left="824"/>
        <w:rPr>
          <w:szCs w:val="24"/>
        </w:rPr>
      </w:pPr>
      <w:r w:rsidRPr="00D9106F">
        <w:rPr>
          <w:szCs w:val="24"/>
        </w:rPr>
        <w:t xml:space="preserve">ARTICLE </w:t>
      </w:r>
      <w:r w:rsidR="00877F42" w:rsidRPr="00D9106F">
        <w:rPr>
          <w:szCs w:val="24"/>
        </w:rPr>
        <w:t>4-</w:t>
      </w:r>
      <w:r w:rsidR="00AE2596" w:rsidRPr="00D9106F">
        <w:rPr>
          <w:szCs w:val="24"/>
        </w:rPr>
        <w:t xml:space="preserve"> (1) </w:t>
      </w:r>
      <w:proofErr w:type="spellStart"/>
      <w:r w:rsidR="00AE2596" w:rsidRPr="00D9106F">
        <w:rPr>
          <w:szCs w:val="24"/>
        </w:rPr>
        <w:t>Academic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Publication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Incentive</w:t>
      </w:r>
      <w:proofErr w:type="spellEnd"/>
      <w:r w:rsidR="00AE2596" w:rsidRPr="00D9106F">
        <w:rPr>
          <w:szCs w:val="24"/>
        </w:rPr>
        <w:t xml:space="preserve"> Applications:</w:t>
      </w:r>
    </w:p>
    <w:p w14:paraId="62CCD0CD" w14:textId="41C83FD6" w:rsidR="006D7877" w:rsidRPr="00D9106F" w:rsidRDefault="00AE2596">
      <w:pPr>
        <w:pStyle w:val="P68B1DB1-ListParagraph3"/>
        <w:numPr>
          <w:ilvl w:val="0"/>
          <w:numId w:val="3"/>
        </w:numPr>
        <w:tabs>
          <w:tab w:val="left" w:pos="1094"/>
        </w:tabs>
        <w:spacing w:before="138" w:line="360" w:lineRule="auto"/>
        <w:ind w:right="105" w:firstLine="708"/>
        <w:jc w:val="both"/>
        <w:rPr>
          <w:szCs w:val="24"/>
        </w:rPr>
      </w:pP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order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give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scientific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use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address</w:t>
      </w:r>
      <w:proofErr w:type="spellEnd"/>
      <w:r w:rsidRPr="00D9106F">
        <w:rPr>
          <w:szCs w:val="24"/>
        </w:rPr>
        <w:t xml:space="preserve"> </w:t>
      </w:r>
      <w:r w:rsidR="00352395" w:rsidRPr="00D9106F">
        <w:rPr>
          <w:szCs w:val="24"/>
        </w:rPr>
        <w:t>“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="00352395" w:rsidRPr="00D9106F">
        <w:rPr>
          <w:szCs w:val="24"/>
        </w:rPr>
        <w:t>”</w:t>
      </w:r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related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scientific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name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unit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department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program has </w:t>
      </w:r>
      <w:proofErr w:type="spellStart"/>
      <w:r w:rsidRPr="00D9106F">
        <w:rPr>
          <w:szCs w:val="24"/>
        </w:rPr>
        <w:t>been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announced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Rectorate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accordance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list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on medipol.edu.tr</w:t>
      </w:r>
      <w:r w:rsidR="00352395"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must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displayed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do not </w:t>
      </w:r>
      <w:proofErr w:type="spellStart"/>
      <w:r w:rsidRPr="00D9106F">
        <w:rPr>
          <w:szCs w:val="24"/>
        </w:rPr>
        <w:t>contain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addresses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accordance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specified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rules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support</w:t>
      </w:r>
      <w:proofErr w:type="spellEnd"/>
      <w:r w:rsidRPr="00D9106F">
        <w:rPr>
          <w:szCs w:val="24"/>
        </w:rPr>
        <w:t xml:space="preserve"> is not </w:t>
      </w:r>
      <w:proofErr w:type="spellStart"/>
      <w:r w:rsidRPr="00D9106F">
        <w:rPr>
          <w:szCs w:val="24"/>
        </w:rPr>
        <w:t>provided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until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correction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relevant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database</w:t>
      </w:r>
      <w:proofErr w:type="spellEnd"/>
      <w:r w:rsidRPr="00D9106F">
        <w:rPr>
          <w:szCs w:val="24"/>
        </w:rPr>
        <w:t>.</w:t>
      </w:r>
    </w:p>
    <w:p w14:paraId="62CCD0CE" w14:textId="77777777" w:rsidR="006D7877" w:rsidRPr="00D9106F" w:rsidRDefault="00AE2596">
      <w:pPr>
        <w:pStyle w:val="P68B1DB1-ListParagraph3"/>
        <w:numPr>
          <w:ilvl w:val="0"/>
          <w:numId w:val="3"/>
        </w:numPr>
        <w:tabs>
          <w:tab w:val="left" w:pos="1084"/>
        </w:tabs>
        <w:spacing w:line="360" w:lineRule="auto"/>
        <w:ind w:right="106" w:firstLine="708"/>
        <w:jc w:val="both"/>
        <w:rPr>
          <w:szCs w:val="24"/>
        </w:rPr>
      </w:pPr>
      <w:proofErr w:type="spellStart"/>
      <w:r w:rsidRPr="00D9106F">
        <w:rPr>
          <w:szCs w:val="24"/>
        </w:rPr>
        <w:t>Scientific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addressed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IMU, </w:t>
      </w:r>
      <w:proofErr w:type="spellStart"/>
      <w:r w:rsidRPr="00D9106F">
        <w:rPr>
          <w:szCs w:val="24"/>
        </w:rPr>
        <w:t>citations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scanned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Library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Documentation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Department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evaluation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report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prepared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TTO is </w:t>
      </w:r>
      <w:proofErr w:type="spellStart"/>
      <w:r w:rsidRPr="00D9106F">
        <w:rPr>
          <w:szCs w:val="24"/>
        </w:rPr>
        <w:t>submitted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Presidency</w:t>
      </w:r>
      <w:proofErr w:type="spellEnd"/>
      <w:r w:rsidRPr="00D9106F">
        <w:rPr>
          <w:szCs w:val="24"/>
        </w:rPr>
        <w:t>.</w:t>
      </w:r>
    </w:p>
    <w:p w14:paraId="62CCD0CF" w14:textId="4A41281A" w:rsidR="006D7877" w:rsidRPr="00D9106F" w:rsidRDefault="00AE2596">
      <w:pPr>
        <w:pStyle w:val="P68B1DB1-ListParagraph3"/>
        <w:numPr>
          <w:ilvl w:val="0"/>
          <w:numId w:val="3"/>
        </w:numPr>
        <w:tabs>
          <w:tab w:val="left" w:pos="1130"/>
        </w:tabs>
        <w:spacing w:line="362" w:lineRule="auto"/>
        <w:ind w:right="333" w:firstLine="708"/>
        <w:rPr>
          <w:szCs w:val="24"/>
        </w:rPr>
      </w:pP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follow-up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evaluation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patents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models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Technology</w:t>
      </w:r>
      <w:proofErr w:type="spellEnd"/>
      <w:r w:rsidRPr="00D9106F">
        <w:rPr>
          <w:szCs w:val="24"/>
        </w:rPr>
        <w:t xml:space="preserve"> Transfer Office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relevant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evaluation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report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submitted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Rectorate</w:t>
      </w:r>
      <w:proofErr w:type="spellEnd"/>
      <w:r w:rsidRPr="00D9106F">
        <w:rPr>
          <w:szCs w:val="24"/>
        </w:rPr>
        <w:t>. (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order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accrue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applications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letter</w:t>
      </w:r>
      <w:proofErr w:type="spellEnd"/>
      <w:r w:rsidRPr="00D9106F">
        <w:rPr>
          <w:szCs w:val="24"/>
        </w:rPr>
        <w:t xml:space="preserve"> </w:t>
      </w:r>
      <w:r w:rsidR="00352395" w:rsidRPr="00D9106F">
        <w:rPr>
          <w:szCs w:val="24"/>
        </w:rPr>
        <w:t>“</w:t>
      </w:r>
      <w:proofErr w:type="spellStart"/>
      <w:r w:rsidRPr="00D9106F">
        <w:rPr>
          <w:szCs w:val="24"/>
        </w:rPr>
        <w:t>There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no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formal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deficiency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application</w:t>
      </w:r>
      <w:proofErr w:type="spellEnd"/>
      <w:r w:rsidR="00352395" w:rsidRPr="00D9106F">
        <w:rPr>
          <w:szCs w:val="24"/>
        </w:rPr>
        <w:t>”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must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received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from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institution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>).</w:t>
      </w:r>
    </w:p>
    <w:p w14:paraId="62CCD0D0" w14:textId="77777777" w:rsidR="006D7877" w:rsidRPr="00D9106F" w:rsidRDefault="006D7877">
      <w:pPr>
        <w:spacing w:line="362" w:lineRule="auto"/>
        <w:rPr>
          <w:sz w:val="24"/>
          <w:szCs w:val="24"/>
        </w:rPr>
        <w:sectPr w:rsidR="006D7877" w:rsidRPr="00D9106F">
          <w:pgSz w:w="11910" w:h="16840"/>
          <w:pgMar w:top="1320" w:right="1300" w:bottom="280" w:left="1300" w:header="708" w:footer="708" w:gutter="0"/>
          <w:cols w:space="708"/>
        </w:sectPr>
      </w:pPr>
    </w:p>
    <w:p w14:paraId="62CCD0D1" w14:textId="77777777" w:rsidR="006D7877" w:rsidRPr="00D9106F" w:rsidRDefault="00AE2596">
      <w:pPr>
        <w:pStyle w:val="GvdeMetni"/>
        <w:spacing w:before="77" w:line="360" w:lineRule="auto"/>
        <w:ind w:left="115" w:right="406" w:firstLine="706"/>
        <w:rPr>
          <w:szCs w:val="24"/>
        </w:rPr>
      </w:pPr>
      <w:proofErr w:type="gramStart"/>
      <w:r w:rsidRPr="00D9106F">
        <w:rPr>
          <w:szCs w:val="24"/>
        </w:rPr>
        <w:lastRenderedPageBreak/>
        <w:t>ç</w:t>
      </w:r>
      <w:proofErr w:type="gramEnd"/>
      <w:r w:rsidRPr="00D9106F">
        <w:rPr>
          <w:szCs w:val="24"/>
        </w:rPr>
        <w:t xml:space="preserve">) No </w:t>
      </w:r>
      <w:proofErr w:type="spellStart"/>
      <w:r w:rsidRPr="00D9106F">
        <w:rPr>
          <w:szCs w:val="24"/>
        </w:rPr>
        <w:t>additional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application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required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except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international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WOS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SCOPUS.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fill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out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relevant</w:t>
      </w:r>
      <w:proofErr w:type="spellEnd"/>
      <w:r w:rsidRPr="00D9106F">
        <w:rPr>
          <w:szCs w:val="24"/>
        </w:rPr>
        <w:t xml:space="preserve"> form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submit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written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report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Library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Documentation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Department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between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January</w:t>
      </w:r>
      <w:proofErr w:type="spellEnd"/>
      <w:r w:rsidRPr="00D9106F">
        <w:rPr>
          <w:szCs w:val="24"/>
        </w:rPr>
        <w:t xml:space="preserve"> 1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January</w:t>
      </w:r>
      <w:proofErr w:type="spellEnd"/>
      <w:r w:rsidRPr="00D9106F">
        <w:rPr>
          <w:szCs w:val="24"/>
        </w:rPr>
        <w:t xml:space="preserve"> 31 </w:t>
      </w:r>
      <w:proofErr w:type="spellStart"/>
      <w:r w:rsidRPr="00D9106F">
        <w:rPr>
          <w:szCs w:val="24"/>
        </w:rPr>
        <w:t>each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year</w:t>
      </w:r>
      <w:proofErr w:type="spellEnd"/>
      <w:r w:rsidRPr="00D9106F">
        <w:rPr>
          <w:szCs w:val="24"/>
        </w:rPr>
        <w:t>.</w:t>
      </w:r>
    </w:p>
    <w:p w14:paraId="62CCD0D2" w14:textId="77777777" w:rsidR="006D7877" w:rsidRPr="00D9106F" w:rsidRDefault="00AE2596">
      <w:pPr>
        <w:pStyle w:val="P68B1DB1-ListParagraph3"/>
        <w:numPr>
          <w:ilvl w:val="0"/>
          <w:numId w:val="3"/>
        </w:numPr>
        <w:tabs>
          <w:tab w:val="left" w:pos="1079"/>
        </w:tabs>
        <w:spacing w:before="7" w:line="360" w:lineRule="auto"/>
        <w:ind w:right="408" w:firstLine="708"/>
        <w:jc w:val="both"/>
        <w:rPr>
          <w:szCs w:val="24"/>
        </w:rPr>
      </w:pP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applications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before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date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requested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after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>.</w:t>
      </w:r>
    </w:p>
    <w:p w14:paraId="62CCD0D3" w14:textId="77777777" w:rsidR="006D7877" w:rsidRPr="00D9106F" w:rsidRDefault="00AE2596">
      <w:pPr>
        <w:pStyle w:val="Balk1"/>
        <w:numPr>
          <w:ilvl w:val="0"/>
          <w:numId w:val="2"/>
        </w:numPr>
        <w:tabs>
          <w:tab w:val="left" w:pos="1163"/>
        </w:tabs>
        <w:spacing w:before="6"/>
        <w:ind w:firstLine="708"/>
        <w:jc w:val="left"/>
        <w:rPr>
          <w:szCs w:val="24"/>
        </w:rPr>
      </w:pP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</w:t>
      </w:r>
      <w:proofErr w:type="spellEnd"/>
    </w:p>
    <w:p w14:paraId="62CCD0D4" w14:textId="257CFFFF" w:rsidR="006D7877" w:rsidRPr="00D9106F" w:rsidRDefault="00AE2596">
      <w:pPr>
        <w:pStyle w:val="GvdeMetni"/>
        <w:spacing w:before="140" w:line="360" w:lineRule="auto"/>
        <w:ind w:right="406" w:firstLine="706"/>
        <w:rPr>
          <w:szCs w:val="24"/>
        </w:rPr>
      </w:pP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</w:t>
      </w:r>
      <w:proofErr w:type="spellEnd"/>
      <w:r w:rsidRPr="00D9106F">
        <w:rPr>
          <w:szCs w:val="24"/>
        </w:rPr>
        <w:t xml:space="preserve"> has </w:t>
      </w:r>
      <w:proofErr w:type="spellStart"/>
      <w:r w:rsidRPr="00D9106F">
        <w:rPr>
          <w:szCs w:val="24"/>
        </w:rPr>
        <w:t>been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determined</w:t>
      </w:r>
      <w:proofErr w:type="spellEnd"/>
      <w:r w:rsidRPr="00D9106F">
        <w:rPr>
          <w:szCs w:val="24"/>
        </w:rPr>
        <w:t xml:space="preserve"> as 1,200 TL,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CPI </w:t>
      </w:r>
      <w:proofErr w:type="spellStart"/>
      <w:r w:rsidRPr="00D9106F">
        <w:rPr>
          <w:szCs w:val="24"/>
        </w:rPr>
        <w:t>i</w:t>
      </w:r>
      <w:r w:rsidR="00352395" w:rsidRPr="00D9106F">
        <w:rPr>
          <w:szCs w:val="24"/>
        </w:rPr>
        <w:t>ncreases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each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year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proportion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PPI </w:t>
      </w:r>
      <w:proofErr w:type="spellStart"/>
      <w:r w:rsidRPr="00D9106F">
        <w:rPr>
          <w:szCs w:val="24"/>
        </w:rPr>
        <w:t>average</w:t>
      </w:r>
      <w:proofErr w:type="spellEnd"/>
      <w:r w:rsidRPr="00D9106F">
        <w:rPr>
          <w:szCs w:val="24"/>
        </w:rPr>
        <w:t>.</w:t>
      </w:r>
    </w:p>
    <w:p w14:paraId="62CCD0D5" w14:textId="6FA4C9AD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1058"/>
        </w:tabs>
        <w:spacing w:line="360" w:lineRule="auto"/>
        <w:ind w:right="404" w:firstLine="708"/>
        <w:jc w:val="both"/>
        <w:rPr>
          <w:szCs w:val="24"/>
        </w:rPr>
      </w:pP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</w:t>
      </w:r>
      <w:proofErr w:type="spellEnd"/>
      <w:r w:rsidRPr="00D9106F">
        <w:rPr>
          <w:szCs w:val="24"/>
        </w:rPr>
        <w:t xml:space="preserve"> (</w:t>
      </w:r>
      <w:proofErr w:type="spellStart"/>
      <w:r w:rsidRPr="00D9106F">
        <w:rPr>
          <w:szCs w:val="24"/>
        </w:rPr>
        <w:t>article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review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case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report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letter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letter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</w:t>
      </w:r>
      <w:proofErr w:type="spellEnd"/>
      <w:r w:rsidRPr="00D9106F">
        <w:rPr>
          <w:szCs w:val="24"/>
        </w:rPr>
        <w:t xml:space="preserve">),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book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notice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etc</w:t>
      </w:r>
      <w:proofErr w:type="spellEnd"/>
      <w:r w:rsidRPr="00D9106F">
        <w:rPr>
          <w:szCs w:val="24"/>
        </w:rPr>
        <w:t>.</w:t>
      </w:r>
      <w:r w:rsidR="00352395" w:rsidRPr="00D9106F">
        <w:rPr>
          <w:szCs w:val="24"/>
        </w:rPr>
        <w:t>,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scanned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Web of </w:t>
      </w:r>
      <w:proofErr w:type="spellStart"/>
      <w:r w:rsidRPr="00D9106F">
        <w:rPr>
          <w:szCs w:val="24"/>
        </w:rPr>
        <w:t>Science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database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addition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, as a </w:t>
      </w:r>
      <w:proofErr w:type="spellStart"/>
      <w:r w:rsidRPr="00D9106F">
        <w:rPr>
          <w:szCs w:val="24"/>
        </w:rPr>
        <w:t>result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evaluation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following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multiplied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annual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</w:t>
      </w:r>
      <w:proofErr w:type="spellEnd"/>
      <w:r w:rsidR="00352395" w:rsidRPr="00D9106F">
        <w:rPr>
          <w:szCs w:val="24"/>
        </w:rPr>
        <w:t>,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value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in TL</w:t>
      </w:r>
    </w:p>
    <w:p w14:paraId="62CCD0D6" w14:textId="77777777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1094"/>
        </w:tabs>
        <w:spacing w:before="7" w:line="360" w:lineRule="auto"/>
        <w:ind w:right="406" w:firstLine="708"/>
        <w:jc w:val="both"/>
        <w:rPr>
          <w:szCs w:val="24"/>
        </w:rPr>
      </w:pPr>
      <w:r w:rsidRPr="00D9106F">
        <w:rPr>
          <w:szCs w:val="24"/>
        </w:rPr>
        <w:t xml:space="preserve">Publications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journals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were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scanned</w:t>
      </w:r>
      <w:proofErr w:type="spellEnd"/>
      <w:r w:rsidRPr="00D9106F">
        <w:rPr>
          <w:szCs w:val="24"/>
        </w:rPr>
        <w:t xml:space="preserve"> in Web of </w:t>
      </w:r>
      <w:proofErr w:type="spellStart"/>
      <w:r w:rsidRPr="00D9106F">
        <w:rPr>
          <w:szCs w:val="24"/>
        </w:rPr>
        <w:t>Science</w:t>
      </w:r>
      <w:proofErr w:type="spellEnd"/>
      <w:r w:rsidRPr="00D9106F">
        <w:rPr>
          <w:szCs w:val="24"/>
        </w:rPr>
        <w:t xml:space="preserve"> but </w:t>
      </w:r>
      <w:proofErr w:type="spellStart"/>
      <w:r w:rsidRPr="00D9106F">
        <w:rPr>
          <w:szCs w:val="24"/>
        </w:rPr>
        <w:t>scanned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Scopus</w:t>
      </w:r>
      <w:proofErr w:type="spellEnd"/>
      <w:r w:rsidRPr="00D9106F">
        <w:rPr>
          <w:szCs w:val="24"/>
        </w:rPr>
        <w:t xml:space="preserve">, et al. </w:t>
      </w:r>
      <w:proofErr w:type="spellStart"/>
      <w:proofErr w:type="gramStart"/>
      <w:r w:rsidRPr="00D9106F">
        <w:rPr>
          <w:szCs w:val="24"/>
        </w:rPr>
        <w:t>academic</w:t>
      </w:r>
      <w:proofErr w:type="spellEnd"/>
      <w:proofErr w:type="gram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activities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supported</w:t>
      </w:r>
      <w:proofErr w:type="spellEnd"/>
      <w:r w:rsidRPr="00D9106F">
        <w:rPr>
          <w:szCs w:val="24"/>
        </w:rPr>
        <w:t xml:space="preserve"> at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rate of 75%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values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determined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Web of </w:t>
      </w:r>
      <w:proofErr w:type="spellStart"/>
      <w:r w:rsidRPr="00D9106F">
        <w:rPr>
          <w:szCs w:val="24"/>
        </w:rPr>
        <w:t>Science</w:t>
      </w:r>
      <w:proofErr w:type="spellEnd"/>
      <w:r w:rsidRPr="00D9106F">
        <w:rPr>
          <w:szCs w:val="24"/>
        </w:rPr>
        <w:t>.</w:t>
      </w:r>
    </w:p>
    <w:p w14:paraId="62CCD0D7" w14:textId="77777777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1066"/>
        </w:tabs>
        <w:spacing w:line="360" w:lineRule="auto"/>
        <w:ind w:right="411" w:firstLine="708"/>
        <w:jc w:val="both"/>
        <w:rPr>
          <w:szCs w:val="24"/>
        </w:rPr>
      </w:pP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only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valid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addressed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“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Universitesi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”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criteria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based</w:t>
      </w:r>
      <w:proofErr w:type="spellEnd"/>
      <w:r w:rsidRPr="00D9106F">
        <w:rPr>
          <w:szCs w:val="24"/>
        </w:rPr>
        <w:t xml:space="preserve"> on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>.</w:t>
      </w:r>
    </w:p>
    <w:p w14:paraId="62CCD0D8" w14:textId="77777777" w:rsidR="006D7877" w:rsidRPr="00D9106F" w:rsidRDefault="00AE2596">
      <w:pPr>
        <w:pStyle w:val="GvdeMetni"/>
        <w:spacing w:before="10"/>
        <w:ind w:left="823"/>
        <w:jc w:val="left"/>
        <w:rPr>
          <w:szCs w:val="24"/>
        </w:rPr>
      </w:pPr>
      <w:proofErr w:type="spellStart"/>
      <w:r w:rsidRPr="00D9106F">
        <w:rPr>
          <w:szCs w:val="24"/>
        </w:rPr>
        <w:t>Table</w:t>
      </w:r>
      <w:proofErr w:type="spellEnd"/>
      <w:r w:rsidRPr="00D9106F">
        <w:rPr>
          <w:szCs w:val="24"/>
        </w:rPr>
        <w:t xml:space="preserve"> 1: </w:t>
      </w:r>
      <w:proofErr w:type="spellStart"/>
      <w:r w:rsidRPr="00D9106F">
        <w:rPr>
          <w:szCs w:val="24"/>
        </w:rPr>
        <w:t>Academic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Allowance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Coefficients</w:t>
      </w:r>
      <w:proofErr w:type="spellEnd"/>
    </w:p>
    <w:p w14:paraId="62CCD0D9" w14:textId="77777777" w:rsidR="006D7877" w:rsidRPr="00D9106F" w:rsidRDefault="006D7877">
      <w:pPr>
        <w:pStyle w:val="GvdeMetni"/>
        <w:spacing w:before="10"/>
        <w:ind w:left="0"/>
        <w:jc w:val="left"/>
        <w:rPr>
          <w:szCs w:val="24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375"/>
        <w:gridCol w:w="2168"/>
        <w:gridCol w:w="2890"/>
      </w:tblGrid>
      <w:tr w:rsidR="006D7877" w:rsidRPr="00D9106F" w14:paraId="62CCD0E0" w14:textId="77777777">
        <w:trPr>
          <w:trHeight w:val="680"/>
        </w:trPr>
        <w:tc>
          <w:tcPr>
            <w:tcW w:w="2677" w:type="dxa"/>
          </w:tcPr>
          <w:p w14:paraId="62CCD0DA" w14:textId="77777777" w:rsidR="006D7877" w:rsidRPr="00D9106F" w:rsidRDefault="00AE2596">
            <w:pPr>
              <w:pStyle w:val="P68B1DB1-TableParagraph6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SCI, SCI-E, SSCI, AHCI</w:t>
            </w:r>
          </w:p>
          <w:p w14:paraId="62CCD0DB" w14:textId="77777777" w:rsidR="006D7877" w:rsidRPr="00D9106F" w:rsidRDefault="00AE2596">
            <w:pPr>
              <w:pStyle w:val="P68B1DB1-TableParagraph6"/>
              <w:spacing w:before="114"/>
              <w:ind w:left="106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Magazines</w:t>
            </w:r>
            <w:proofErr w:type="spellEnd"/>
          </w:p>
        </w:tc>
        <w:tc>
          <w:tcPr>
            <w:tcW w:w="1375" w:type="dxa"/>
          </w:tcPr>
          <w:p w14:paraId="62CCD0DC" w14:textId="77777777" w:rsidR="006D7877" w:rsidRPr="00D9106F" w:rsidRDefault="00AE2596">
            <w:pPr>
              <w:pStyle w:val="P68B1DB1-TableParagraph6"/>
              <w:spacing w:before="173"/>
              <w:ind w:left="340" w:right="340"/>
              <w:jc w:val="center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168" w:type="dxa"/>
          </w:tcPr>
          <w:p w14:paraId="62CCD0DD" w14:textId="77777777" w:rsidR="006D7877" w:rsidRPr="00D9106F" w:rsidRDefault="00AE2596">
            <w:pPr>
              <w:pStyle w:val="P68B1DB1-TableParagraph6"/>
              <w:spacing w:before="173"/>
              <w:ind w:left="698" w:right="698"/>
              <w:jc w:val="center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Compilation</w:t>
            </w:r>
            <w:proofErr w:type="spellEnd"/>
          </w:p>
        </w:tc>
        <w:tc>
          <w:tcPr>
            <w:tcW w:w="2890" w:type="dxa"/>
          </w:tcPr>
          <w:p w14:paraId="62CCD0DE" w14:textId="77777777" w:rsidR="006D7877" w:rsidRPr="00D9106F" w:rsidRDefault="00AE2596">
            <w:pPr>
              <w:pStyle w:val="P68B1DB1-TableParagraph6"/>
              <w:ind w:left="111" w:right="11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Case </w:t>
            </w:r>
            <w:proofErr w:type="spellStart"/>
            <w:r w:rsidRPr="00D9106F">
              <w:rPr>
                <w:sz w:val="24"/>
                <w:szCs w:val="24"/>
              </w:rPr>
              <w:t>report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letter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letter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editor</w:t>
            </w:r>
            <w:proofErr w:type="spellEnd"/>
          </w:p>
          <w:p w14:paraId="62CCD0DF" w14:textId="77777777" w:rsidR="006D7877" w:rsidRPr="00D9106F" w:rsidRDefault="00AE2596">
            <w:pPr>
              <w:pStyle w:val="P68B1DB1-TableParagraph6"/>
              <w:spacing w:before="114"/>
              <w:ind w:left="111" w:right="11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06F">
              <w:rPr>
                <w:sz w:val="24"/>
                <w:szCs w:val="24"/>
              </w:rPr>
              <w:t>technical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note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etc</w:t>
            </w:r>
            <w:proofErr w:type="spellEnd"/>
            <w:r w:rsidRPr="00D9106F">
              <w:rPr>
                <w:sz w:val="24"/>
                <w:szCs w:val="24"/>
              </w:rPr>
              <w:t>.</w:t>
            </w:r>
          </w:p>
        </w:tc>
      </w:tr>
      <w:tr w:rsidR="006D7877" w:rsidRPr="00D9106F" w14:paraId="62CCD0E5" w14:textId="77777777">
        <w:trPr>
          <w:trHeight w:val="340"/>
        </w:trPr>
        <w:tc>
          <w:tcPr>
            <w:tcW w:w="2677" w:type="dxa"/>
          </w:tcPr>
          <w:p w14:paraId="62CCD0E1" w14:textId="1FD9D1D5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first</w:t>
            </w:r>
            <w:proofErr w:type="spellEnd"/>
            <w:r w:rsidRPr="00D9106F">
              <w:rPr>
                <w:sz w:val="24"/>
                <w:szCs w:val="24"/>
              </w:rPr>
              <w:t xml:space="preserve"> 1% </w:t>
            </w:r>
            <w:r w:rsidR="00352395" w:rsidRPr="00D9106F">
              <w:rPr>
                <w:sz w:val="24"/>
                <w:szCs w:val="24"/>
              </w:rPr>
              <w:t xml:space="preserve">of </w:t>
            </w:r>
            <w:proofErr w:type="spellStart"/>
            <w:r w:rsidRPr="00D9106F">
              <w:rPr>
                <w:sz w:val="24"/>
                <w:szCs w:val="24"/>
              </w:rPr>
              <w:t>research</w:t>
            </w:r>
            <w:proofErr w:type="spellEnd"/>
            <w:r w:rsidRPr="00D9106F">
              <w:rPr>
                <w:sz w:val="24"/>
                <w:szCs w:val="24"/>
              </w:rPr>
              <w:t xml:space="preserve"> in Q1 </w:t>
            </w:r>
            <w:proofErr w:type="spellStart"/>
            <w:r w:rsidRPr="00D9106F">
              <w:rPr>
                <w:sz w:val="24"/>
                <w:szCs w:val="24"/>
              </w:rPr>
              <w:t>magazines</w:t>
            </w:r>
            <w:proofErr w:type="spellEnd"/>
          </w:p>
        </w:tc>
        <w:tc>
          <w:tcPr>
            <w:tcW w:w="1375" w:type="dxa"/>
          </w:tcPr>
          <w:p w14:paraId="62CCD0E2" w14:textId="77777777" w:rsidR="006D7877" w:rsidRPr="00D9106F" w:rsidRDefault="00AE2596">
            <w:pPr>
              <w:pStyle w:val="P68B1DB1-TableParagraph7"/>
              <w:ind w:left="340" w:right="33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16</w:t>
            </w:r>
          </w:p>
        </w:tc>
        <w:tc>
          <w:tcPr>
            <w:tcW w:w="2168" w:type="dxa"/>
          </w:tcPr>
          <w:p w14:paraId="62CCD0E3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</w:t>
            </w:r>
          </w:p>
        </w:tc>
        <w:tc>
          <w:tcPr>
            <w:tcW w:w="2890" w:type="dxa"/>
          </w:tcPr>
          <w:p w14:paraId="62CCD0E4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5</w:t>
            </w:r>
          </w:p>
        </w:tc>
      </w:tr>
      <w:tr w:rsidR="006D7877" w:rsidRPr="00D9106F" w14:paraId="62CCD0EA" w14:textId="77777777">
        <w:trPr>
          <w:trHeight w:val="320"/>
        </w:trPr>
        <w:tc>
          <w:tcPr>
            <w:tcW w:w="2677" w:type="dxa"/>
          </w:tcPr>
          <w:p w14:paraId="62CCD0E6" w14:textId="77777777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First 10% </w:t>
            </w:r>
            <w:proofErr w:type="spellStart"/>
            <w:r w:rsidRPr="00D9106F">
              <w:rPr>
                <w:sz w:val="24"/>
                <w:szCs w:val="24"/>
              </w:rPr>
              <w:t>research</w:t>
            </w:r>
            <w:proofErr w:type="spellEnd"/>
            <w:r w:rsidRPr="00D9106F">
              <w:rPr>
                <w:sz w:val="24"/>
                <w:szCs w:val="24"/>
              </w:rPr>
              <w:t xml:space="preserve"> in Q1 </w:t>
            </w:r>
            <w:proofErr w:type="spellStart"/>
            <w:r w:rsidRPr="00D9106F">
              <w:rPr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375" w:type="dxa"/>
          </w:tcPr>
          <w:p w14:paraId="62CCD0E7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8</w:t>
            </w:r>
          </w:p>
        </w:tc>
        <w:tc>
          <w:tcPr>
            <w:tcW w:w="2168" w:type="dxa"/>
          </w:tcPr>
          <w:p w14:paraId="62CCD0E8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14:paraId="62CCD0E9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</w:t>
            </w:r>
          </w:p>
        </w:tc>
      </w:tr>
      <w:tr w:rsidR="006D7877" w:rsidRPr="00D9106F" w14:paraId="62CCD0EF" w14:textId="77777777">
        <w:trPr>
          <w:trHeight w:val="340"/>
        </w:trPr>
        <w:tc>
          <w:tcPr>
            <w:tcW w:w="2677" w:type="dxa"/>
          </w:tcPr>
          <w:p w14:paraId="62CCD0EB" w14:textId="77777777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Q 1 </w:t>
            </w:r>
            <w:proofErr w:type="spellStart"/>
            <w:r w:rsidRPr="00D9106F">
              <w:rPr>
                <w:sz w:val="24"/>
                <w:szCs w:val="24"/>
              </w:rPr>
              <w:t>journals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1375" w:type="dxa"/>
          </w:tcPr>
          <w:p w14:paraId="62CCD0EC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14:paraId="62CCD0ED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</w:t>
            </w:r>
          </w:p>
        </w:tc>
        <w:tc>
          <w:tcPr>
            <w:tcW w:w="2890" w:type="dxa"/>
          </w:tcPr>
          <w:p w14:paraId="62CCD0EE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</w:tr>
      <w:tr w:rsidR="006D7877" w:rsidRPr="00D9106F" w14:paraId="62CCD0F4" w14:textId="77777777">
        <w:trPr>
          <w:trHeight w:val="340"/>
        </w:trPr>
        <w:tc>
          <w:tcPr>
            <w:tcW w:w="2677" w:type="dxa"/>
          </w:tcPr>
          <w:p w14:paraId="62CCD0F0" w14:textId="77777777" w:rsidR="006D7877" w:rsidRPr="00D9106F" w:rsidRDefault="00AE2596">
            <w:pPr>
              <w:pStyle w:val="P68B1DB1-TableParagraph7"/>
              <w:spacing w:before="1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Q2 </w:t>
            </w:r>
            <w:proofErr w:type="spellStart"/>
            <w:r w:rsidRPr="00D9106F">
              <w:rPr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375" w:type="dxa"/>
          </w:tcPr>
          <w:p w14:paraId="62CCD0F1" w14:textId="77777777" w:rsidR="006D7877" w:rsidRPr="00D9106F" w:rsidRDefault="00AE2596">
            <w:pPr>
              <w:pStyle w:val="P68B1DB1-TableParagraph7"/>
              <w:spacing w:before="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14:paraId="62CCD0F2" w14:textId="77777777" w:rsidR="006D7877" w:rsidRPr="00D9106F" w:rsidRDefault="00AE2596">
            <w:pPr>
              <w:pStyle w:val="P68B1DB1-TableParagraph7"/>
              <w:spacing w:before="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14:paraId="62CCD0F3" w14:textId="77777777" w:rsidR="006D7877" w:rsidRPr="00D9106F" w:rsidRDefault="00AE2596">
            <w:pPr>
              <w:pStyle w:val="P68B1DB1-TableParagraph7"/>
              <w:spacing w:before="1"/>
              <w:ind w:left="111" w:right="11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1,5</w:t>
            </w:r>
          </w:p>
        </w:tc>
      </w:tr>
      <w:tr w:rsidR="006D7877" w:rsidRPr="00D9106F" w14:paraId="62CCD0F9" w14:textId="77777777">
        <w:trPr>
          <w:trHeight w:val="320"/>
        </w:trPr>
        <w:tc>
          <w:tcPr>
            <w:tcW w:w="2677" w:type="dxa"/>
          </w:tcPr>
          <w:p w14:paraId="62CCD0F5" w14:textId="77777777" w:rsidR="006D7877" w:rsidRPr="00D9106F" w:rsidRDefault="00AE2596">
            <w:pPr>
              <w:pStyle w:val="P68B1DB1-TableParagraph7"/>
              <w:spacing w:before="1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Q3 </w:t>
            </w:r>
            <w:proofErr w:type="spellStart"/>
            <w:r w:rsidRPr="00D9106F">
              <w:rPr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375" w:type="dxa"/>
          </w:tcPr>
          <w:p w14:paraId="62CCD0F6" w14:textId="77777777" w:rsidR="006D7877" w:rsidRPr="00D9106F" w:rsidRDefault="00AE2596">
            <w:pPr>
              <w:pStyle w:val="P68B1DB1-TableParagraph7"/>
              <w:spacing w:before="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</w:t>
            </w:r>
          </w:p>
        </w:tc>
        <w:tc>
          <w:tcPr>
            <w:tcW w:w="2168" w:type="dxa"/>
          </w:tcPr>
          <w:p w14:paraId="62CCD0F7" w14:textId="77777777" w:rsidR="006D7877" w:rsidRPr="00D9106F" w:rsidRDefault="00AE2596">
            <w:pPr>
              <w:pStyle w:val="P68B1DB1-TableParagraph7"/>
              <w:spacing w:before="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</w:tcPr>
          <w:p w14:paraId="62CCD0F8" w14:textId="77777777" w:rsidR="006D7877" w:rsidRPr="00D9106F" w:rsidRDefault="00AE2596">
            <w:pPr>
              <w:pStyle w:val="P68B1DB1-TableParagraph7"/>
              <w:spacing w:before="1"/>
              <w:ind w:left="111" w:right="11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</w:t>
            </w:r>
          </w:p>
        </w:tc>
      </w:tr>
      <w:tr w:rsidR="006D7877" w:rsidRPr="00D9106F" w14:paraId="62CCD0FE" w14:textId="77777777">
        <w:trPr>
          <w:trHeight w:val="340"/>
        </w:trPr>
        <w:tc>
          <w:tcPr>
            <w:tcW w:w="2677" w:type="dxa"/>
          </w:tcPr>
          <w:p w14:paraId="62CCD0FA" w14:textId="77777777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Q3 </w:t>
            </w:r>
            <w:proofErr w:type="spellStart"/>
            <w:r w:rsidRPr="00D9106F">
              <w:rPr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1375" w:type="dxa"/>
          </w:tcPr>
          <w:p w14:paraId="62CCD0FB" w14:textId="77777777" w:rsidR="006D7877" w:rsidRPr="00D9106F" w:rsidRDefault="00AE2596">
            <w:pPr>
              <w:pStyle w:val="P68B1DB1-TableParagraph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14:paraId="62CCD0FC" w14:textId="77777777" w:rsidR="006D7877" w:rsidRPr="00D9106F" w:rsidRDefault="00AE2596">
            <w:pPr>
              <w:pStyle w:val="P68B1DB1-TableParagraph7"/>
              <w:ind w:left="698" w:right="69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</w:t>
            </w:r>
          </w:p>
        </w:tc>
        <w:tc>
          <w:tcPr>
            <w:tcW w:w="2890" w:type="dxa"/>
          </w:tcPr>
          <w:p w14:paraId="62CCD0FD" w14:textId="77777777" w:rsidR="006D7877" w:rsidRPr="00D9106F" w:rsidRDefault="00AE2596">
            <w:pPr>
              <w:pStyle w:val="P68B1DB1-TableParagraph7"/>
              <w:ind w:left="111" w:right="11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0,3</w:t>
            </w:r>
          </w:p>
        </w:tc>
      </w:tr>
      <w:tr w:rsidR="006D7877" w:rsidRPr="00D9106F" w14:paraId="62CCD104" w14:textId="77777777">
        <w:trPr>
          <w:trHeight w:val="680"/>
        </w:trPr>
        <w:tc>
          <w:tcPr>
            <w:tcW w:w="2677" w:type="dxa"/>
          </w:tcPr>
          <w:p w14:paraId="62CCD0FF" w14:textId="77777777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Magazines</w:t>
            </w:r>
            <w:proofErr w:type="spellEnd"/>
            <w:r w:rsidRPr="00D9106F">
              <w:rPr>
                <w:sz w:val="24"/>
                <w:szCs w:val="24"/>
              </w:rPr>
              <w:t xml:space="preserve"> on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</w:p>
          <w:p w14:paraId="62CCD100" w14:textId="77777777" w:rsidR="006D7877" w:rsidRPr="00D9106F" w:rsidRDefault="00AE2596">
            <w:pPr>
              <w:pStyle w:val="P68B1DB1-TableParagraph7"/>
              <w:spacing w:before="114"/>
              <w:ind w:left="106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ESCI </w:t>
            </w:r>
            <w:proofErr w:type="spellStart"/>
            <w:r w:rsidRPr="00D9106F">
              <w:rPr>
                <w:sz w:val="24"/>
                <w:szCs w:val="24"/>
              </w:rPr>
              <w:t>or</w:t>
            </w:r>
            <w:proofErr w:type="spellEnd"/>
            <w:r w:rsidRPr="00D9106F">
              <w:rPr>
                <w:sz w:val="24"/>
                <w:szCs w:val="24"/>
              </w:rPr>
              <w:t xml:space="preserve"> ULAKBİM </w:t>
            </w:r>
            <w:proofErr w:type="spellStart"/>
            <w:r w:rsidRPr="00D9106F">
              <w:rPr>
                <w:sz w:val="24"/>
                <w:szCs w:val="24"/>
              </w:rPr>
              <w:t>base</w:t>
            </w:r>
            <w:proofErr w:type="spellEnd"/>
          </w:p>
        </w:tc>
        <w:tc>
          <w:tcPr>
            <w:tcW w:w="1375" w:type="dxa"/>
          </w:tcPr>
          <w:p w14:paraId="62CCD101" w14:textId="77777777" w:rsidR="006D7877" w:rsidRPr="00D9106F" w:rsidRDefault="00AE2596">
            <w:pPr>
              <w:pStyle w:val="P68B1DB1-TableParagraph7"/>
              <w:spacing w:before="173"/>
              <w:ind w:left="339" w:right="340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0,5</w:t>
            </w:r>
          </w:p>
        </w:tc>
        <w:tc>
          <w:tcPr>
            <w:tcW w:w="2168" w:type="dxa"/>
          </w:tcPr>
          <w:p w14:paraId="62CCD102" w14:textId="77777777" w:rsidR="006D7877" w:rsidRPr="00D9106F" w:rsidRDefault="00AE2596">
            <w:pPr>
              <w:pStyle w:val="P68B1DB1-TableParagraph7"/>
              <w:spacing w:before="173"/>
              <w:ind w:left="698" w:right="696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0,25</w:t>
            </w:r>
          </w:p>
        </w:tc>
        <w:tc>
          <w:tcPr>
            <w:tcW w:w="2890" w:type="dxa"/>
          </w:tcPr>
          <w:p w14:paraId="62CCD103" w14:textId="77777777" w:rsidR="006D7877" w:rsidRPr="00D9106F" w:rsidRDefault="00AE2596">
            <w:pPr>
              <w:pStyle w:val="P68B1DB1-TableParagraph7"/>
              <w:spacing w:before="173"/>
              <w:ind w:left="111" w:right="11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0,2</w:t>
            </w:r>
          </w:p>
        </w:tc>
      </w:tr>
      <w:tr w:rsidR="006D7877" w:rsidRPr="00D9106F" w14:paraId="62CCD10B" w14:textId="77777777">
        <w:trPr>
          <w:trHeight w:val="1140"/>
        </w:trPr>
        <w:tc>
          <w:tcPr>
            <w:tcW w:w="2677" w:type="dxa"/>
          </w:tcPr>
          <w:p w14:paraId="62CCD105" w14:textId="77777777" w:rsidR="006D7877" w:rsidRPr="00D9106F" w:rsidRDefault="00AE2596">
            <w:pPr>
              <w:pStyle w:val="P68B1DB1-TableParagraph7"/>
              <w:ind w:left="106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Citation</w:t>
            </w:r>
            <w:proofErr w:type="spellEnd"/>
            <w:r w:rsidRPr="00D9106F">
              <w:rPr>
                <w:sz w:val="24"/>
                <w:szCs w:val="24"/>
              </w:rPr>
              <w:t xml:space="preserve"> (</w:t>
            </w:r>
            <w:proofErr w:type="spellStart"/>
            <w:r w:rsidRPr="00D9106F">
              <w:rPr>
                <w:sz w:val="24"/>
                <w:szCs w:val="24"/>
              </w:rPr>
              <w:t>citation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under</w:t>
            </w:r>
            <w:proofErr w:type="spellEnd"/>
            <w:r w:rsidRPr="00D9106F">
              <w:rPr>
                <w:sz w:val="24"/>
                <w:szCs w:val="24"/>
              </w:rPr>
              <w:t xml:space="preserve"> WOS)</w:t>
            </w:r>
          </w:p>
        </w:tc>
        <w:tc>
          <w:tcPr>
            <w:tcW w:w="1375" w:type="dxa"/>
          </w:tcPr>
          <w:p w14:paraId="62CCD106" w14:textId="77777777" w:rsidR="006D7877" w:rsidRPr="00D9106F" w:rsidRDefault="00AE2596">
            <w:pPr>
              <w:pStyle w:val="P68B1DB1-TableParagraph7"/>
              <w:ind w:left="340" w:right="251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0,2</w:t>
            </w:r>
          </w:p>
          <w:p w14:paraId="62CCD107" w14:textId="77777777" w:rsidR="006D7877" w:rsidRPr="00D9106F" w:rsidRDefault="00AE2596">
            <w:pPr>
              <w:pStyle w:val="P68B1DB1-TableParagraph7"/>
              <w:ind w:left="102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9106F">
              <w:rPr>
                <w:sz w:val="24"/>
                <w:szCs w:val="24"/>
              </w:rPr>
              <w:t>per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citation</w:t>
            </w:r>
            <w:proofErr w:type="spellEnd"/>
            <w:r w:rsidRPr="00D9106F">
              <w:rPr>
                <w:sz w:val="24"/>
                <w:szCs w:val="24"/>
              </w:rPr>
              <w:t>)</w:t>
            </w:r>
          </w:p>
        </w:tc>
        <w:tc>
          <w:tcPr>
            <w:tcW w:w="2168" w:type="dxa"/>
          </w:tcPr>
          <w:p w14:paraId="62CCD108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90" w:type="dxa"/>
          </w:tcPr>
          <w:p w14:paraId="62CCD109" w14:textId="77777777" w:rsidR="006D7877" w:rsidRPr="00D9106F" w:rsidRDefault="00AE2596">
            <w:pPr>
              <w:pStyle w:val="P68B1DB1-TableParagraph7"/>
              <w:ind w:left="126" w:right="123" w:firstLine="76"/>
              <w:jc w:val="both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incentive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granted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only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used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for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research</w:t>
            </w:r>
            <w:proofErr w:type="spellEnd"/>
            <w:r w:rsidRPr="00D9106F">
              <w:rPr>
                <w:sz w:val="24"/>
                <w:szCs w:val="24"/>
              </w:rPr>
              <w:t xml:space="preserve"> (</w:t>
            </w:r>
            <w:proofErr w:type="spellStart"/>
            <w:r w:rsidRPr="00D9106F">
              <w:rPr>
                <w:sz w:val="24"/>
                <w:szCs w:val="24"/>
              </w:rPr>
              <w:t>project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etc</w:t>
            </w:r>
            <w:proofErr w:type="spellEnd"/>
            <w:r w:rsidRPr="00D9106F">
              <w:rPr>
                <w:sz w:val="24"/>
                <w:szCs w:val="24"/>
              </w:rPr>
              <w:t xml:space="preserve">.) </w:t>
            </w:r>
            <w:proofErr w:type="spellStart"/>
            <w:r w:rsidRPr="00D9106F">
              <w:rPr>
                <w:sz w:val="24"/>
                <w:szCs w:val="24"/>
              </w:rPr>
              <w:t>purposes</w:t>
            </w:r>
            <w:proofErr w:type="spellEnd"/>
            <w:r w:rsidRPr="00D9106F">
              <w:rPr>
                <w:sz w:val="24"/>
                <w:szCs w:val="24"/>
              </w:rPr>
              <w:t xml:space="preserve">. No </w:t>
            </w:r>
            <w:proofErr w:type="spellStart"/>
            <w:r w:rsidRPr="00D9106F">
              <w:rPr>
                <w:sz w:val="24"/>
                <w:szCs w:val="24"/>
              </w:rPr>
              <w:t>personal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payment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made</w:t>
            </w:r>
            <w:proofErr w:type="spellEnd"/>
            <w:r w:rsidRPr="00D9106F">
              <w:rPr>
                <w:sz w:val="24"/>
                <w:szCs w:val="24"/>
              </w:rPr>
              <w:t xml:space="preserve">. </w:t>
            </w:r>
            <w:proofErr w:type="spellStart"/>
            <w:r w:rsidRPr="00D9106F">
              <w:rPr>
                <w:sz w:val="24"/>
                <w:szCs w:val="24"/>
              </w:rPr>
              <w:t>It</w:t>
            </w:r>
            <w:proofErr w:type="spellEnd"/>
            <w:r w:rsidRPr="00D9106F">
              <w:rPr>
                <w:sz w:val="24"/>
                <w:szCs w:val="24"/>
              </w:rPr>
              <w:t xml:space="preserve"> can </w:t>
            </w:r>
            <w:proofErr w:type="spellStart"/>
            <w:r w:rsidRPr="00D9106F">
              <w:rPr>
                <w:sz w:val="24"/>
                <w:szCs w:val="24"/>
              </w:rPr>
              <w:t>only</w:t>
            </w:r>
            <w:proofErr w:type="spellEnd"/>
            <w:r w:rsidRPr="00D9106F">
              <w:rPr>
                <w:sz w:val="24"/>
                <w:szCs w:val="24"/>
              </w:rPr>
              <w:t xml:space="preserve"> be </w:t>
            </w:r>
            <w:proofErr w:type="spellStart"/>
            <w:r w:rsidRPr="00D9106F">
              <w:rPr>
                <w:sz w:val="24"/>
                <w:szCs w:val="24"/>
              </w:rPr>
              <w:t>used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by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</w:p>
          <w:p w14:paraId="62CCD10A" w14:textId="5E1734F7" w:rsidR="006D7877" w:rsidRPr="00D9106F" w:rsidRDefault="00AE2596">
            <w:pPr>
              <w:pStyle w:val="P68B1DB1-TableParagraph7"/>
              <w:spacing w:before="17" w:line="212" w:lineRule="exact"/>
              <w:ind w:left="225" w:right="123" w:hanging="99"/>
              <w:jc w:val="both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06F">
              <w:rPr>
                <w:sz w:val="24"/>
                <w:szCs w:val="24"/>
              </w:rPr>
              <w:t>responsible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or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by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first</w:t>
            </w:r>
            <w:r w:rsidR="00352395" w:rsidRPr="00D9106F">
              <w:rPr>
                <w:sz w:val="24"/>
                <w:szCs w:val="24"/>
              </w:rPr>
              <w:t>-</w:t>
            </w:r>
            <w:r w:rsidRPr="00D9106F">
              <w:rPr>
                <w:sz w:val="24"/>
                <w:szCs w:val="24"/>
              </w:rPr>
              <w:t>named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  <w:r w:rsidRPr="00D9106F">
              <w:rPr>
                <w:sz w:val="24"/>
                <w:szCs w:val="24"/>
              </w:rPr>
              <w:t>.</w:t>
            </w:r>
          </w:p>
        </w:tc>
      </w:tr>
    </w:tbl>
    <w:p w14:paraId="62CCD10C" w14:textId="77777777" w:rsidR="006D7877" w:rsidRPr="00D9106F" w:rsidRDefault="006D7877">
      <w:pPr>
        <w:spacing w:line="212" w:lineRule="exact"/>
        <w:jc w:val="both"/>
        <w:rPr>
          <w:sz w:val="24"/>
          <w:szCs w:val="24"/>
        </w:rPr>
        <w:sectPr w:rsidR="006D7877" w:rsidRPr="00D9106F">
          <w:pgSz w:w="11910" w:h="16840"/>
          <w:pgMar w:top="1320" w:right="1000" w:bottom="280" w:left="1300" w:header="708" w:footer="708" w:gutter="0"/>
          <w:cols w:space="708"/>
        </w:sectPr>
      </w:pPr>
    </w:p>
    <w:p w14:paraId="62CCD10D" w14:textId="0C92D20A" w:rsidR="006D7877" w:rsidRPr="00D9106F" w:rsidRDefault="00AE2596">
      <w:pPr>
        <w:pStyle w:val="GvdeMetni"/>
        <w:spacing w:before="77" w:line="360" w:lineRule="auto"/>
        <w:ind w:right="136" w:firstLine="565"/>
        <w:jc w:val="left"/>
        <w:rPr>
          <w:szCs w:val="24"/>
        </w:rPr>
      </w:pPr>
      <w:proofErr w:type="gramStart"/>
      <w:r w:rsidRPr="00D9106F">
        <w:rPr>
          <w:szCs w:val="24"/>
        </w:rPr>
        <w:lastRenderedPageBreak/>
        <w:t>ç</w:t>
      </w:r>
      <w:proofErr w:type="gramEnd"/>
      <w:r w:rsidRPr="00D9106F">
        <w:rPr>
          <w:szCs w:val="24"/>
        </w:rPr>
        <w:t xml:space="preserve">)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evaluated</w:t>
      </w:r>
      <w:proofErr w:type="spellEnd"/>
      <w:r w:rsidRPr="00D9106F">
        <w:rPr>
          <w:szCs w:val="24"/>
        </w:rPr>
        <w:t xml:space="preserve"> in WOS (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editing</w:t>
      </w:r>
      <w:proofErr w:type="spellEnd"/>
      <w:r w:rsidRPr="00D9106F">
        <w:rPr>
          <w:szCs w:val="24"/>
        </w:rPr>
        <w:t xml:space="preserve">) </w:t>
      </w:r>
      <w:r w:rsidRPr="00D9106F">
        <w:rPr>
          <w:b/>
          <w:i/>
          <w:szCs w:val="24"/>
        </w:rPr>
        <w:t xml:space="preserve">3x </w:t>
      </w:r>
      <w:proofErr w:type="spellStart"/>
      <w:r w:rsidR="00352395" w:rsidRPr="00D9106F">
        <w:rPr>
          <w:b/>
          <w:i/>
          <w:szCs w:val="24"/>
        </w:rPr>
        <w:t>c</w:t>
      </w:r>
      <w:r w:rsidRPr="00D9106F">
        <w:rPr>
          <w:b/>
          <w:i/>
          <w:szCs w:val="24"/>
        </w:rPr>
        <w:t>oefficient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translation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</w:t>
      </w:r>
      <w:proofErr w:type="spellEnd"/>
      <w:r w:rsidRPr="00D9106F">
        <w:rPr>
          <w:szCs w:val="24"/>
        </w:rPr>
        <w:t xml:space="preserve"> </w:t>
      </w:r>
      <w:r w:rsidRPr="00D9106F">
        <w:rPr>
          <w:b/>
          <w:i/>
          <w:szCs w:val="24"/>
        </w:rPr>
        <w:t>1.5xCoefficient</w:t>
      </w:r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provided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3 </w:t>
      </w:r>
      <w:proofErr w:type="spellStart"/>
      <w:r w:rsidRPr="00D9106F">
        <w:rPr>
          <w:szCs w:val="24"/>
        </w:rPr>
        <w:t>chapters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i/>
          <w:szCs w:val="24"/>
        </w:rPr>
        <w:t xml:space="preserve">0.6xCoefficient </w:t>
      </w:r>
      <w:r w:rsidRPr="00D9106F">
        <w:rPr>
          <w:szCs w:val="24"/>
        </w:rPr>
        <w:t>(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is 75% of WOS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books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database</w:t>
      </w:r>
      <w:proofErr w:type="spellEnd"/>
      <w:r w:rsidRPr="00D9106F">
        <w:rPr>
          <w:szCs w:val="24"/>
        </w:rPr>
        <w:t xml:space="preserve"> in SCOPUS), 1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editorship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international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books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except</w:t>
      </w:r>
      <w:proofErr w:type="spellEnd"/>
      <w:r w:rsidR="0076005D" w:rsidRPr="00D9106F">
        <w:rPr>
          <w:szCs w:val="24"/>
        </w:rPr>
        <w:t xml:space="preserve"> </w:t>
      </w:r>
      <w:proofErr w:type="spellStart"/>
      <w:r w:rsidR="0076005D"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WOS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SCOPUS</w:t>
      </w:r>
      <w:r w:rsidRPr="00D9106F">
        <w:rPr>
          <w:b/>
          <w:i/>
          <w:szCs w:val="24"/>
        </w:rPr>
        <w:t>x</w:t>
      </w:r>
      <w:proofErr w:type="spellEnd"/>
      <w:r w:rsidRPr="00D9106F">
        <w:rPr>
          <w:b/>
          <w:i/>
          <w:szCs w:val="24"/>
        </w:rPr>
        <w:t xml:space="preserve"> </w:t>
      </w:r>
      <w:proofErr w:type="spellStart"/>
      <w:r w:rsidRPr="00D9106F">
        <w:rPr>
          <w:b/>
          <w:i/>
          <w:szCs w:val="24"/>
        </w:rPr>
        <w:t>coefficient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translation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editor</w:t>
      </w:r>
      <w:proofErr w:type="spellEnd"/>
      <w:r w:rsidRPr="00D9106F">
        <w:rPr>
          <w:szCs w:val="24"/>
        </w:rPr>
        <w:t xml:space="preserve"> </w:t>
      </w:r>
      <w:r w:rsidRPr="00D9106F">
        <w:rPr>
          <w:b/>
          <w:i/>
          <w:szCs w:val="24"/>
        </w:rPr>
        <w:t xml:space="preserve">0.5xCoefficient, </w:t>
      </w:r>
      <w:proofErr w:type="spellStart"/>
      <w:r w:rsidRPr="00D9106F">
        <w:rPr>
          <w:szCs w:val="24"/>
        </w:rPr>
        <w:t>provided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3 </w:t>
      </w:r>
      <w:proofErr w:type="spellStart"/>
      <w:r w:rsidRPr="00D9106F">
        <w:rPr>
          <w:szCs w:val="24"/>
        </w:rPr>
        <w:t>chapters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chapter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authorship</w:t>
      </w:r>
      <w:proofErr w:type="spellEnd"/>
      <w:r w:rsidRPr="00D9106F">
        <w:rPr>
          <w:szCs w:val="24"/>
        </w:rPr>
        <w:t xml:space="preserve"> </w:t>
      </w:r>
      <w:r w:rsidRPr="00D9106F">
        <w:rPr>
          <w:b/>
          <w:i/>
          <w:szCs w:val="24"/>
        </w:rPr>
        <w:t xml:space="preserve">0.2xCoefficient </w:t>
      </w:r>
      <w:proofErr w:type="spellStart"/>
      <w:r w:rsidRPr="00D9106F">
        <w:rPr>
          <w:szCs w:val="24"/>
        </w:rPr>
        <w:t>until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will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>.</w:t>
      </w:r>
    </w:p>
    <w:p w14:paraId="62CCD10E" w14:textId="7CC63F19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1022"/>
        </w:tabs>
        <w:spacing w:before="7" w:line="360" w:lineRule="auto"/>
        <w:ind w:right="106" w:firstLine="565"/>
        <w:jc w:val="both"/>
        <w:rPr>
          <w:b/>
          <w:szCs w:val="24"/>
        </w:rPr>
      </w:pPr>
      <w:r w:rsidRPr="00D9106F">
        <w:rPr>
          <w:szCs w:val="24"/>
        </w:rPr>
        <w:t xml:space="preserve">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1,500 TL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lecturers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participate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congresses</w:t>
      </w:r>
      <w:proofErr w:type="spellEnd"/>
      <w:r w:rsidRPr="00D9106F">
        <w:rPr>
          <w:szCs w:val="24"/>
        </w:rPr>
        <w:t xml:space="preserve"> as oral </w:t>
      </w:r>
      <w:proofErr w:type="spellStart"/>
      <w:r w:rsidRPr="00D9106F">
        <w:rPr>
          <w:szCs w:val="24"/>
        </w:rPr>
        <w:t>presentations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invited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speakers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i/>
          <w:szCs w:val="24"/>
        </w:rPr>
        <w:t xml:space="preserve">0.3xCoefficient </w:t>
      </w:r>
      <w:proofErr w:type="spellStart"/>
      <w:r w:rsidRPr="00D9106F">
        <w:rPr>
          <w:szCs w:val="24"/>
        </w:rPr>
        <w:t>Accommodation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transportation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will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way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payments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cannot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</w:t>
      </w:r>
      <w:proofErr w:type="spellStart"/>
      <w:r w:rsidR="0076005D" w:rsidRPr="00D9106F">
        <w:rPr>
          <w:szCs w:val="24"/>
        </w:rPr>
        <w:t>two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times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year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One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person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each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szCs w:val="24"/>
        </w:rPr>
        <w:t>(</w:t>
      </w:r>
      <w:proofErr w:type="spellStart"/>
      <w:r w:rsidRPr="00D9106F">
        <w:rPr>
          <w:b/>
          <w:szCs w:val="24"/>
        </w:rPr>
        <w:t>Amendment</w:t>
      </w:r>
      <w:proofErr w:type="spellEnd"/>
      <w:r w:rsidRPr="00D9106F">
        <w:rPr>
          <w:b/>
          <w:szCs w:val="24"/>
        </w:rPr>
        <w:t xml:space="preserve">: </w:t>
      </w:r>
      <w:proofErr w:type="spellStart"/>
      <w:proofErr w:type="gramStart"/>
      <w:r w:rsidRPr="00D9106F">
        <w:rPr>
          <w:b/>
          <w:szCs w:val="24"/>
        </w:rPr>
        <w:t>Senate</w:t>
      </w:r>
      <w:proofErr w:type="spellEnd"/>
      <w:proofErr w:type="gram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Decision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dated</w:t>
      </w:r>
      <w:proofErr w:type="spellEnd"/>
      <w:r w:rsidRPr="00D9106F">
        <w:rPr>
          <w:b/>
          <w:szCs w:val="24"/>
        </w:rPr>
        <w:t xml:space="preserve"> 11/09/2018 </w:t>
      </w:r>
      <w:proofErr w:type="spellStart"/>
      <w:r w:rsidRPr="00D9106F">
        <w:rPr>
          <w:b/>
          <w:szCs w:val="24"/>
        </w:rPr>
        <w:t>and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numbered</w:t>
      </w:r>
      <w:proofErr w:type="spellEnd"/>
      <w:r w:rsidRPr="00D9106F">
        <w:rPr>
          <w:b/>
          <w:szCs w:val="24"/>
        </w:rPr>
        <w:t xml:space="preserve"> 2018/26-02).</w:t>
      </w:r>
    </w:p>
    <w:p w14:paraId="62CCD10F" w14:textId="2F4784F1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959"/>
        </w:tabs>
        <w:spacing w:before="169" w:line="360" w:lineRule="auto"/>
        <w:ind w:right="105" w:firstLine="565"/>
        <w:jc w:val="both"/>
        <w:rPr>
          <w:b/>
          <w:szCs w:val="24"/>
        </w:rPr>
      </w:pP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3,000 TL of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international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attended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oral 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poster </w:t>
      </w:r>
      <w:proofErr w:type="spellStart"/>
      <w:r w:rsidRPr="00D9106F">
        <w:rPr>
          <w:szCs w:val="24"/>
        </w:rPr>
        <w:t>presentations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WOS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SCOPUS. </w:t>
      </w:r>
      <w:r w:rsidRPr="00D9106F">
        <w:rPr>
          <w:b/>
          <w:i/>
          <w:szCs w:val="24"/>
        </w:rPr>
        <w:t>0.7xCoefficient</w:t>
      </w:r>
      <w:r w:rsidRPr="00D9106F">
        <w:rPr>
          <w:szCs w:val="24"/>
        </w:rPr>
        <w:t xml:space="preserve">;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3,000 TL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SCOPUS, </w:t>
      </w:r>
      <w:proofErr w:type="spellStart"/>
      <w:r w:rsidRPr="00D9106F">
        <w:rPr>
          <w:szCs w:val="24"/>
        </w:rPr>
        <w:t>without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distinction</w:t>
      </w:r>
      <w:proofErr w:type="spellEnd"/>
      <w:r w:rsidRPr="00D9106F">
        <w:rPr>
          <w:szCs w:val="24"/>
        </w:rPr>
        <w:t xml:space="preserve"> of oral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poster </w:t>
      </w:r>
      <w:r w:rsidRPr="00D9106F">
        <w:rPr>
          <w:b/>
          <w:i/>
          <w:szCs w:val="24"/>
        </w:rPr>
        <w:t>1,4xCoefficient</w:t>
      </w:r>
      <w:r w:rsidRPr="00D9106F">
        <w:rPr>
          <w:szCs w:val="24"/>
        </w:rPr>
        <w:t xml:space="preserve">; </w:t>
      </w:r>
      <w:proofErr w:type="spellStart"/>
      <w:r w:rsidRPr="00D9106F">
        <w:rPr>
          <w:szCs w:val="24"/>
        </w:rPr>
        <w:t>Those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take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</w:t>
      </w:r>
      <w:proofErr w:type="spellEnd"/>
      <w:r w:rsidRPr="00D9106F">
        <w:rPr>
          <w:szCs w:val="24"/>
        </w:rPr>
        <w:t xml:space="preserve"> in WOS,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maximum</w:t>
      </w:r>
      <w:proofErr w:type="spellEnd"/>
      <w:r w:rsidRPr="00D9106F">
        <w:rPr>
          <w:szCs w:val="24"/>
        </w:rPr>
        <w:t xml:space="preserve"> of 3,000 TL of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fees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i/>
          <w:szCs w:val="24"/>
        </w:rPr>
        <w:t xml:space="preserve">2xCoefficient </w:t>
      </w:r>
      <w:proofErr w:type="spellStart"/>
      <w:r w:rsidRPr="00D9106F">
        <w:rPr>
          <w:szCs w:val="24"/>
        </w:rPr>
        <w:t>Accommodation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transportation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costs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will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exceed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amount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way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payments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cannot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2 </w:t>
      </w:r>
      <w:proofErr w:type="spellStart"/>
      <w:r w:rsidRPr="00D9106F">
        <w:rPr>
          <w:szCs w:val="24"/>
        </w:rPr>
        <w:t>times</w:t>
      </w:r>
      <w:proofErr w:type="spellEnd"/>
      <w:r w:rsidRPr="00D9106F">
        <w:rPr>
          <w:szCs w:val="24"/>
        </w:rPr>
        <w:t xml:space="preserve"> a </w:t>
      </w:r>
      <w:proofErr w:type="spellStart"/>
      <w:r w:rsidRPr="00D9106F">
        <w:rPr>
          <w:szCs w:val="24"/>
        </w:rPr>
        <w:t>year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One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person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each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paper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Congress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participation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</w:t>
      </w:r>
      <w:proofErr w:type="spellEnd"/>
      <w:r w:rsidRPr="00D9106F">
        <w:rPr>
          <w:szCs w:val="24"/>
        </w:rPr>
        <w:t xml:space="preserve"> is not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clinical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sciences</w:t>
      </w:r>
      <w:proofErr w:type="spellEnd"/>
      <w:r w:rsidR="00352395" w:rsidRPr="00D9106F">
        <w:rPr>
          <w:szCs w:val="24"/>
        </w:rPr>
        <w:t>;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according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relevant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coefficient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subject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approval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Rectorate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szCs w:val="24"/>
        </w:rPr>
        <w:t>(</w:t>
      </w:r>
      <w:proofErr w:type="spellStart"/>
      <w:r w:rsidRPr="00D9106F">
        <w:rPr>
          <w:b/>
          <w:szCs w:val="24"/>
        </w:rPr>
        <w:t>Amendment</w:t>
      </w:r>
      <w:proofErr w:type="spellEnd"/>
      <w:r w:rsidRPr="00D9106F">
        <w:rPr>
          <w:b/>
          <w:szCs w:val="24"/>
        </w:rPr>
        <w:t xml:space="preserve">: </w:t>
      </w:r>
      <w:proofErr w:type="spellStart"/>
      <w:proofErr w:type="gramStart"/>
      <w:r w:rsidRPr="00D9106F">
        <w:rPr>
          <w:b/>
          <w:szCs w:val="24"/>
        </w:rPr>
        <w:t>Senate</w:t>
      </w:r>
      <w:proofErr w:type="spellEnd"/>
      <w:proofErr w:type="gram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Decision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dated</w:t>
      </w:r>
      <w:proofErr w:type="spellEnd"/>
      <w:r w:rsidRPr="00D9106F">
        <w:rPr>
          <w:b/>
          <w:szCs w:val="24"/>
        </w:rPr>
        <w:t xml:space="preserve"> 11/09/2018 </w:t>
      </w:r>
      <w:proofErr w:type="spellStart"/>
      <w:r w:rsidRPr="00D9106F">
        <w:rPr>
          <w:b/>
          <w:szCs w:val="24"/>
        </w:rPr>
        <w:t>and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numbered</w:t>
      </w:r>
      <w:proofErr w:type="spellEnd"/>
      <w:r w:rsidRPr="00D9106F">
        <w:rPr>
          <w:b/>
          <w:szCs w:val="24"/>
        </w:rPr>
        <w:t xml:space="preserve"> 2018/26-02).</w:t>
      </w:r>
    </w:p>
    <w:p w14:paraId="62CCD110" w14:textId="341F9B9E" w:rsidR="006D7877" w:rsidRPr="00D9106F" w:rsidRDefault="00AE2596">
      <w:pPr>
        <w:pStyle w:val="P68B1DB1-ListParagraph3"/>
        <w:numPr>
          <w:ilvl w:val="0"/>
          <w:numId w:val="1"/>
        </w:numPr>
        <w:tabs>
          <w:tab w:val="left" w:pos="906"/>
        </w:tabs>
        <w:spacing w:before="169" w:line="360" w:lineRule="auto"/>
        <w:ind w:right="106" w:firstLine="565"/>
        <w:jc w:val="both"/>
        <w:rPr>
          <w:b/>
          <w:szCs w:val="24"/>
        </w:rPr>
      </w:pPr>
      <w:proofErr w:type="spellStart"/>
      <w:r w:rsidRPr="00D9106F">
        <w:rPr>
          <w:szCs w:val="24"/>
        </w:rPr>
        <w:t>Expenses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such</w:t>
      </w:r>
      <w:proofErr w:type="spellEnd"/>
      <w:r w:rsidRPr="00D9106F">
        <w:rPr>
          <w:szCs w:val="24"/>
        </w:rPr>
        <w:t xml:space="preserve"> as </w:t>
      </w:r>
      <w:proofErr w:type="spellStart"/>
      <w:r w:rsidRPr="00D9106F">
        <w:rPr>
          <w:szCs w:val="24"/>
        </w:rPr>
        <w:t>per-page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printing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colo</w:t>
      </w:r>
      <w:r w:rsidR="00352395" w:rsidRPr="00D9106F">
        <w:rPr>
          <w:szCs w:val="24"/>
        </w:rPr>
        <w:t>u</w:t>
      </w:r>
      <w:r w:rsidRPr="00D9106F">
        <w:rPr>
          <w:szCs w:val="24"/>
        </w:rPr>
        <w:t>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image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printing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requested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publishers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research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articles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accepted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 in Q3</w:t>
      </w:r>
      <w:r w:rsidR="00352395" w:rsidRPr="00D9106F">
        <w:rPr>
          <w:szCs w:val="24"/>
        </w:rPr>
        <w:t xml:space="preserve">. </w:t>
      </w:r>
      <w:proofErr w:type="spellStart"/>
      <w:r w:rsidR="00352395" w:rsidRPr="00D9106F">
        <w:rPr>
          <w:szCs w:val="24"/>
        </w:rPr>
        <w:t>H</w:t>
      </w:r>
      <w:r w:rsidRPr="00D9106F">
        <w:rPr>
          <w:szCs w:val="24"/>
        </w:rPr>
        <w:t>igher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journals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scope</w:t>
      </w:r>
      <w:proofErr w:type="spellEnd"/>
      <w:r w:rsidRPr="00D9106F">
        <w:rPr>
          <w:szCs w:val="24"/>
        </w:rPr>
        <w:t xml:space="preserve"> of SCI, SCI-E, SSCI, AHCI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Q12, Q3 </w:t>
      </w:r>
      <w:proofErr w:type="spellStart"/>
      <w:r w:rsidRPr="00D9106F">
        <w:rPr>
          <w:szCs w:val="24"/>
        </w:rPr>
        <w:t>journals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without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deduction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Q1journals </w:t>
      </w:r>
      <w:proofErr w:type="spellStart"/>
      <w:r w:rsidRPr="00D9106F">
        <w:rPr>
          <w:szCs w:val="24"/>
        </w:rPr>
        <w:t>without</w:t>
      </w:r>
      <w:proofErr w:type="spellEnd"/>
      <w:r w:rsidRPr="00D9106F">
        <w:rPr>
          <w:szCs w:val="24"/>
        </w:rPr>
        <w:t xml:space="preserve"> </w:t>
      </w:r>
      <w:proofErr w:type="spellStart"/>
      <w:r w:rsidR="004E6E7B" w:rsidRPr="00D9106F">
        <w:rPr>
          <w:szCs w:val="24"/>
        </w:rPr>
        <w:t>belief</w:t>
      </w:r>
      <w:proofErr w:type="spellEnd"/>
      <w:r w:rsidR="004E6E7B" w:rsidRPr="00D9106F">
        <w:rPr>
          <w:szCs w:val="24"/>
        </w:rPr>
        <w:t>.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amount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cannot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relevant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person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who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fits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category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journal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published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faculty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members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clinical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sciences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School of </w:t>
      </w:r>
      <w:proofErr w:type="spellStart"/>
      <w:r w:rsidRPr="00D9106F">
        <w:rPr>
          <w:szCs w:val="24"/>
        </w:rPr>
        <w:t>Medicine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Dentistry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expenses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</w:t>
      </w:r>
      <w:proofErr w:type="spellEnd"/>
      <w:r w:rsidRPr="00D9106F">
        <w:rPr>
          <w:szCs w:val="24"/>
        </w:rPr>
        <w:t xml:space="preserve"> of Q1, Q2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Q3 </w:t>
      </w:r>
      <w:proofErr w:type="spellStart"/>
      <w:r w:rsidRPr="00D9106F">
        <w:rPr>
          <w:szCs w:val="24"/>
        </w:rPr>
        <w:t>articles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after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commission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review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approval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rector</w:t>
      </w:r>
      <w:proofErr w:type="spellEnd"/>
      <w:r w:rsidRPr="00D9106F">
        <w:rPr>
          <w:szCs w:val="24"/>
        </w:rPr>
        <w:t xml:space="preserve">;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context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no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have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been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. </w:t>
      </w:r>
      <w:r w:rsidRPr="00D9106F">
        <w:rPr>
          <w:b/>
          <w:szCs w:val="24"/>
        </w:rPr>
        <w:t>(</w:t>
      </w:r>
      <w:proofErr w:type="spellStart"/>
      <w:r w:rsidRPr="00D9106F">
        <w:rPr>
          <w:b/>
          <w:szCs w:val="24"/>
        </w:rPr>
        <w:t>Amendment</w:t>
      </w:r>
      <w:proofErr w:type="spellEnd"/>
      <w:r w:rsidRPr="00D9106F">
        <w:rPr>
          <w:b/>
          <w:szCs w:val="24"/>
        </w:rPr>
        <w:t xml:space="preserve">: </w:t>
      </w:r>
      <w:proofErr w:type="spellStart"/>
      <w:proofErr w:type="gramStart"/>
      <w:r w:rsidRPr="00D9106F">
        <w:rPr>
          <w:b/>
          <w:szCs w:val="24"/>
        </w:rPr>
        <w:t>Senate</w:t>
      </w:r>
      <w:proofErr w:type="spellEnd"/>
      <w:proofErr w:type="gram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Decision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dated</w:t>
      </w:r>
      <w:proofErr w:type="spellEnd"/>
      <w:r w:rsidRPr="00D9106F">
        <w:rPr>
          <w:b/>
          <w:szCs w:val="24"/>
        </w:rPr>
        <w:t xml:space="preserve"> 23/03/2021 </w:t>
      </w:r>
      <w:proofErr w:type="spellStart"/>
      <w:r w:rsidRPr="00D9106F">
        <w:rPr>
          <w:b/>
          <w:szCs w:val="24"/>
        </w:rPr>
        <w:t>and</w:t>
      </w:r>
      <w:proofErr w:type="spellEnd"/>
      <w:r w:rsidRPr="00D9106F">
        <w:rPr>
          <w:b/>
          <w:szCs w:val="24"/>
        </w:rPr>
        <w:t xml:space="preserve"> </w:t>
      </w:r>
      <w:proofErr w:type="spellStart"/>
      <w:r w:rsidRPr="00D9106F">
        <w:rPr>
          <w:b/>
          <w:szCs w:val="24"/>
        </w:rPr>
        <w:t>numbered</w:t>
      </w:r>
      <w:proofErr w:type="spellEnd"/>
      <w:r w:rsidRPr="00D9106F">
        <w:rPr>
          <w:b/>
          <w:szCs w:val="24"/>
        </w:rPr>
        <w:t xml:space="preserve"> 2021/05-04).</w:t>
      </w:r>
    </w:p>
    <w:p w14:paraId="62CCD111" w14:textId="77777777" w:rsidR="006D7877" w:rsidRPr="00D9106F" w:rsidRDefault="00AE2596">
      <w:pPr>
        <w:pStyle w:val="P68B1DB1-ListParagraph3"/>
        <w:numPr>
          <w:ilvl w:val="0"/>
          <w:numId w:val="2"/>
        </w:numPr>
        <w:tabs>
          <w:tab w:val="left" w:pos="1036"/>
        </w:tabs>
        <w:spacing w:before="127" w:line="360" w:lineRule="auto"/>
        <w:ind w:right="115" w:firstLine="565"/>
        <w:jc w:val="both"/>
        <w:rPr>
          <w:szCs w:val="24"/>
        </w:rPr>
      </w:pPr>
      <w:r w:rsidRPr="00D9106F">
        <w:rPr>
          <w:szCs w:val="24"/>
        </w:rPr>
        <w:t xml:space="preserve">&gt; Total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according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author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rank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distributed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according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table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below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multi-author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only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members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>.</w:t>
      </w:r>
    </w:p>
    <w:p w14:paraId="62CCD112" w14:textId="77777777" w:rsidR="006D7877" w:rsidRPr="00D9106F" w:rsidRDefault="00AE2596">
      <w:pPr>
        <w:pStyle w:val="GvdeMetni"/>
        <w:spacing w:before="127"/>
        <w:ind w:left="681"/>
        <w:jc w:val="left"/>
        <w:rPr>
          <w:szCs w:val="24"/>
        </w:rPr>
      </w:pPr>
      <w:proofErr w:type="spellStart"/>
      <w:r w:rsidRPr="00D9106F">
        <w:rPr>
          <w:szCs w:val="24"/>
        </w:rPr>
        <w:t>Table</w:t>
      </w:r>
      <w:proofErr w:type="spellEnd"/>
      <w:r w:rsidRPr="00D9106F">
        <w:rPr>
          <w:szCs w:val="24"/>
        </w:rPr>
        <w:t xml:space="preserve">: </w:t>
      </w:r>
      <w:proofErr w:type="spellStart"/>
      <w:r w:rsidRPr="00D9106F">
        <w:rPr>
          <w:szCs w:val="24"/>
        </w:rPr>
        <w:t>Table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Percentages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Author </w:t>
      </w:r>
      <w:proofErr w:type="spellStart"/>
      <w:r w:rsidRPr="00D9106F">
        <w:rPr>
          <w:szCs w:val="24"/>
        </w:rPr>
        <w:t>Ranking</w:t>
      </w:r>
      <w:proofErr w:type="spellEnd"/>
    </w:p>
    <w:p w14:paraId="62CCD113" w14:textId="77777777" w:rsidR="006D7877" w:rsidRPr="00D9106F" w:rsidRDefault="006D7877">
      <w:pPr>
        <w:rPr>
          <w:sz w:val="24"/>
          <w:szCs w:val="24"/>
        </w:rPr>
        <w:sectPr w:rsidR="006D7877" w:rsidRPr="00D9106F">
          <w:pgSz w:w="11910" w:h="16840"/>
          <w:pgMar w:top="132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771"/>
        <w:gridCol w:w="1164"/>
        <w:gridCol w:w="1056"/>
        <w:gridCol w:w="1296"/>
        <w:gridCol w:w="1146"/>
        <w:gridCol w:w="1160"/>
      </w:tblGrid>
      <w:tr w:rsidR="006D7877" w:rsidRPr="00D9106F" w14:paraId="62CCD11C" w14:textId="77777777">
        <w:trPr>
          <w:trHeight w:val="700"/>
        </w:trPr>
        <w:tc>
          <w:tcPr>
            <w:tcW w:w="1471" w:type="dxa"/>
          </w:tcPr>
          <w:p w14:paraId="62CCD114" w14:textId="77777777" w:rsidR="006D7877" w:rsidRPr="00D9106F" w:rsidRDefault="00AE2596">
            <w:pPr>
              <w:pStyle w:val="P68B1DB1-TableParagraph7"/>
              <w:spacing w:before="19"/>
              <w:ind w:left="105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lastRenderedPageBreak/>
              <w:t>Number</w:t>
            </w:r>
            <w:proofErr w:type="spellEnd"/>
            <w:r w:rsidRPr="00D9106F">
              <w:rPr>
                <w:sz w:val="24"/>
                <w:szCs w:val="24"/>
              </w:rPr>
              <w:t xml:space="preserve"> of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sz w:val="24"/>
                <w:szCs w:val="24"/>
              </w:rPr>
              <w:t>work</w:t>
            </w:r>
            <w:proofErr w:type="spellEnd"/>
          </w:p>
          <w:p w14:paraId="62CCD115" w14:textId="77777777" w:rsidR="006D7877" w:rsidRPr="00D9106F" w:rsidRDefault="00AE2596">
            <w:pPr>
              <w:pStyle w:val="P68B1DB1-TableParagraph7"/>
              <w:spacing w:before="111"/>
              <w:ind w:left="105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14:paraId="62CCD116" w14:textId="77777777" w:rsidR="006D7877" w:rsidRPr="00D9106F" w:rsidRDefault="00AE2596">
            <w:pPr>
              <w:pStyle w:val="P68B1DB1-TableParagraph7"/>
              <w:tabs>
                <w:tab w:val="left" w:pos="821"/>
              </w:tabs>
              <w:spacing w:before="192"/>
              <w:ind w:left="462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1st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164" w:type="dxa"/>
          </w:tcPr>
          <w:p w14:paraId="62CCD117" w14:textId="77777777" w:rsidR="006D7877" w:rsidRPr="00D9106F" w:rsidRDefault="00AE2596">
            <w:pPr>
              <w:pStyle w:val="P68B1DB1-TableParagraph7"/>
              <w:spacing w:before="192"/>
              <w:ind w:right="413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2nd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056" w:type="dxa"/>
          </w:tcPr>
          <w:p w14:paraId="62CCD118" w14:textId="77777777" w:rsidR="006D7877" w:rsidRPr="00D9106F" w:rsidRDefault="00AE2596">
            <w:pPr>
              <w:pStyle w:val="P68B1DB1-TableParagraph7"/>
              <w:spacing w:before="192"/>
              <w:ind w:right="306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3rd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296" w:type="dxa"/>
          </w:tcPr>
          <w:p w14:paraId="62CCD119" w14:textId="77777777" w:rsidR="006D7877" w:rsidRPr="00D9106F" w:rsidRDefault="00AE2596">
            <w:pPr>
              <w:pStyle w:val="P68B1DB1-TableParagraph7"/>
              <w:spacing w:before="192"/>
              <w:ind w:left="102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4th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146" w:type="dxa"/>
          </w:tcPr>
          <w:p w14:paraId="62CCD11A" w14:textId="77777777" w:rsidR="006D7877" w:rsidRPr="00D9106F" w:rsidRDefault="00AE2596">
            <w:pPr>
              <w:pStyle w:val="P68B1DB1-TableParagraph7"/>
              <w:spacing w:before="192"/>
              <w:ind w:left="153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5th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159" w:type="dxa"/>
          </w:tcPr>
          <w:p w14:paraId="62CCD11B" w14:textId="77777777" w:rsidR="006D7877" w:rsidRPr="00D9106F" w:rsidRDefault="00AE2596">
            <w:pPr>
              <w:pStyle w:val="P68B1DB1-TableParagraph7"/>
              <w:spacing w:before="192"/>
              <w:ind w:left="101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6th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</w:tr>
      <w:tr w:rsidR="006D7877" w:rsidRPr="00D9106F" w14:paraId="62CCD124" w14:textId="77777777">
        <w:trPr>
          <w:trHeight w:val="340"/>
        </w:trPr>
        <w:tc>
          <w:tcPr>
            <w:tcW w:w="1471" w:type="dxa"/>
          </w:tcPr>
          <w:p w14:paraId="62CCD11D" w14:textId="77777777" w:rsidR="006D7877" w:rsidRPr="00D9106F" w:rsidRDefault="00AE2596">
            <w:pPr>
              <w:pStyle w:val="P68B1DB1-TableParagraph7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D9106F">
              <w:rPr>
                <w:sz w:val="24"/>
                <w:szCs w:val="24"/>
              </w:rPr>
              <w:t>with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1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1771" w:type="dxa"/>
          </w:tcPr>
          <w:p w14:paraId="62CCD11E" w14:textId="77777777" w:rsidR="006D7877" w:rsidRPr="00D9106F" w:rsidRDefault="00AE2596">
            <w:pPr>
              <w:pStyle w:val="P68B1DB1-TableParagraph7"/>
              <w:ind w:left="627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100%</w:t>
            </w:r>
          </w:p>
        </w:tc>
        <w:tc>
          <w:tcPr>
            <w:tcW w:w="1164" w:type="dxa"/>
          </w:tcPr>
          <w:p w14:paraId="62CCD11F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2CCD120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62CCD121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2CCD122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2CCD123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877" w:rsidRPr="00D9106F" w14:paraId="62CCD12C" w14:textId="77777777">
        <w:trPr>
          <w:trHeight w:val="340"/>
        </w:trPr>
        <w:tc>
          <w:tcPr>
            <w:tcW w:w="1471" w:type="dxa"/>
          </w:tcPr>
          <w:p w14:paraId="62CCD125" w14:textId="77777777" w:rsidR="006D7877" w:rsidRPr="00D9106F" w:rsidRDefault="00AE2596">
            <w:pPr>
              <w:pStyle w:val="P68B1DB1-TableParagraph7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D9106F">
              <w:rPr>
                <w:sz w:val="24"/>
                <w:szCs w:val="24"/>
              </w:rPr>
              <w:t>with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2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71" w:type="dxa"/>
          </w:tcPr>
          <w:p w14:paraId="62CCD126" w14:textId="77777777" w:rsidR="006D7877" w:rsidRPr="00D9106F" w:rsidRDefault="00AE2596">
            <w:pPr>
              <w:pStyle w:val="P68B1DB1-TableParagraph7"/>
              <w:ind w:left="626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60%</w:t>
            </w:r>
          </w:p>
        </w:tc>
        <w:tc>
          <w:tcPr>
            <w:tcW w:w="1164" w:type="dxa"/>
          </w:tcPr>
          <w:p w14:paraId="62CCD127" w14:textId="77777777" w:rsidR="006D7877" w:rsidRPr="00D9106F" w:rsidRDefault="00AE2596">
            <w:pPr>
              <w:pStyle w:val="P68B1DB1-TableParagraph7"/>
              <w:ind w:right="387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40%</w:t>
            </w:r>
          </w:p>
        </w:tc>
        <w:tc>
          <w:tcPr>
            <w:tcW w:w="1056" w:type="dxa"/>
          </w:tcPr>
          <w:p w14:paraId="62CCD128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14:paraId="62CCD129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2CCD12A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2CCD12B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877" w:rsidRPr="00D9106F" w14:paraId="62CCD134" w14:textId="77777777">
        <w:trPr>
          <w:trHeight w:val="320"/>
        </w:trPr>
        <w:tc>
          <w:tcPr>
            <w:tcW w:w="1471" w:type="dxa"/>
          </w:tcPr>
          <w:p w14:paraId="62CCD12D" w14:textId="77777777" w:rsidR="006D7877" w:rsidRPr="00D9106F" w:rsidRDefault="00AE2596">
            <w:pPr>
              <w:pStyle w:val="P68B1DB1-TableParagraph7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D9106F">
              <w:rPr>
                <w:sz w:val="24"/>
                <w:szCs w:val="24"/>
              </w:rPr>
              <w:t>with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3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71" w:type="dxa"/>
          </w:tcPr>
          <w:p w14:paraId="62CCD12E" w14:textId="77777777" w:rsidR="006D7877" w:rsidRPr="00D9106F" w:rsidRDefault="00AE2596">
            <w:pPr>
              <w:pStyle w:val="P68B1DB1-TableParagraph7"/>
              <w:ind w:left="626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50%</w:t>
            </w:r>
          </w:p>
        </w:tc>
        <w:tc>
          <w:tcPr>
            <w:tcW w:w="1164" w:type="dxa"/>
          </w:tcPr>
          <w:p w14:paraId="62CCD12F" w14:textId="77777777" w:rsidR="006D7877" w:rsidRPr="00D9106F" w:rsidRDefault="00AE2596">
            <w:pPr>
              <w:pStyle w:val="P68B1DB1-TableParagraph7"/>
              <w:ind w:right="387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30%</w:t>
            </w:r>
          </w:p>
        </w:tc>
        <w:tc>
          <w:tcPr>
            <w:tcW w:w="1056" w:type="dxa"/>
          </w:tcPr>
          <w:p w14:paraId="62CCD130" w14:textId="77777777" w:rsidR="006D7877" w:rsidRPr="00D9106F" w:rsidRDefault="00AE2596">
            <w:pPr>
              <w:pStyle w:val="P68B1DB1-TableParagraph7"/>
              <w:ind w:right="336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20%</w:t>
            </w:r>
          </w:p>
        </w:tc>
        <w:tc>
          <w:tcPr>
            <w:tcW w:w="1296" w:type="dxa"/>
          </w:tcPr>
          <w:p w14:paraId="62CCD131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14:paraId="62CCD132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2CCD133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877" w:rsidRPr="00D9106F" w14:paraId="62CCD13C" w14:textId="77777777">
        <w:trPr>
          <w:trHeight w:val="340"/>
        </w:trPr>
        <w:tc>
          <w:tcPr>
            <w:tcW w:w="1471" w:type="dxa"/>
          </w:tcPr>
          <w:p w14:paraId="62CCD135" w14:textId="77777777" w:rsidR="006D7877" w:rsidRPr="00D9106F" w:rsidRDefault="00AE2596">
            <w:pPr>
              <w:pStyle w:val="P68B1DB1-TableParagraph7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D9106F">
              <w:rPr>
                <w:sz w:val="24"/>
                <w:szCs w:val="24"/>
              </w:rPr>
              <w:t>with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4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71" w:type="dxa"/>
          </w:tcPr>
          <w:p w14:paraId="62CCD136" w14:textId="77777777" w:rsidR="006D7877" w:rsidRPr="00D9106F" w:rsidRDefault="00AE2596">
            <w:pPr>
              <w:pStyle w:val="P68B1DB1-TableParagraph7"/>
              <w:ind w:left="624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45%</w:t>
            </w:r>
          </w:p>
        </w:tc>
        <w:tc>
          <w:tcPr>
            <w:tcW w:w="1164" w:type="dxa"/>
          </w:tcPr>
          <w:p w14:paraId="62CCD137" w14:textId="77777777" w:rsidR="006D7877" w:rsidRPr="00D9106F" w:rsidRDefault="00AE2596">
            <w:pPr>
              <w:pStyle w:val="P68B1DB1-TableParagraph7"/>
              <w:ind w:right="390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25%</w:t>
            </w:r>
          </w:p>
        </w:tc>
        <w:tc>
          <w:tcPr>
            <w:tcW w:w="1056" w:type="dxa"/>
          </w:tcPr>
          <w:p w14:paraId="62CCD138" w14:textId="77777777" w:rsidR="006D7877" w:rsidRPr="00D9106F" w:rsidRDefault="00AE2596">
            <w:pPr>
              <w:pStyle w:val="P68B1DB1-TableParagraph7"/>
              <w:ind w:right="338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15%</w:t>
            </w:r>
          </w:p>
        </w:tc>
        <w:tc>
          <w:tcPr>
            <w:tcW w:w="1296" w:type="dxa"/>
          </w:tcPr>
          <w:p w14:paraId="62CCD139" w14:textId="77777777" w:rsidR="006D7877" w:rsidRPr="00D9106F" w:rsidRDefault="00AE2596">
            <w:pPr>
              <w:pStyle w:val="P68B1DB1-TableParagraph7"/>
              <w:ind w:right="458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15%</w:t>
            </w:r>
          </w:p>
        </w:tc>
        <w:tc>
          <w:tcPr>
            <w:tcW w:w="1146" w:type="dxa"/>
          </w:tcPr>
          <w:p w14:paraId="62CCD13A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14:paraId="62CCD13B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877" w:rsidRPr="00D9106F" w14:paraId="62CCD144" w14:textId="77777777">
        <w:trPr>
          <w:trHeight w:val="340"/>
        </w:trPr>
        <w:tc>
          <w:tcPr>
            <w:tcW w:w="1471" w:type="dxa"/>
          </w:tcPr>
          <w:p w14:paraId="62CCD13D" w14:textId="77777777" w:rsidR="006D7877" w:rsidRPr="00D9106F" w:rsidRDefault="00AE2596">
            <w:pPr>
              <w:pStyle w:val="P68B1DB1-TableParagraph7"/>
              <w:spacing w:line="225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D9106F">
              <w:rPr>
                <w:sz w:val="24"/>
                <w:szCs w:val="24"/>
              </w:rPr>
              <w:t>with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5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71" w:type="dxa"/>
          </w:tcPr>
          <w:p w14:paraId="62CCD13E" w14:textId="77777777" w:rsidR="006D7877" w:rsidRPr="00D9106F" w:rsidRDefault="00AE2596">
            <w:pPr>
              <w:pStyle w:val="P68B1DB1-TableParagraph7"/>
              <w:spacing w:line="225" w:lineRule="exact"/>
              <w:ind w:left="624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40%</w:t>
            </w:r>
          </w:p>
        </w:tc>
        <w:tc>
          <w:tcPr>
            <w:tcW w:w="1164" w:type="dxa"/>
          </w:tcPr>
          <w:p w14:paraId="62CCD13F" w14:textId="77777777" w:rsidR="006D7877" w:rsidRPr="00D9106F" w:rsidRDefault="00AE2596">
            <w:pPr>
              <w:pStyle w:val="P68B1DB1-TableParagraph7"/>
              <w:spacing w:line="225" w:lineRule="exact"/>
              <w:ind w:right="390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20%</w:t>
            </w:r>
          </w:p>
        </w:tc>
        <w:tc>
          <w:tcPr>
            <w:tcW w:w="1056" w:type="dxa"/>
          </w:tcPr>
          <w:p w14:paraId="62CCD140" w14:textId="77777777" w:rsidR="006D7877" w:rsidRPr="00D9106F" w:rsidRDefault="00AE2596">
            <w:pPr>
              <w:pStyle w:val="P68B1DB1-TableParagraph7"/>
              <w:spacing w:line="225" w:lineRule="exact"/>
              <w:ind w:right="338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15%</w:t>
            </w:r>
          </w:p>
        </w:tc>
        <w:tc>
          <w:tcPr>
            <w:tcW w:w="1296" w:type="dxa"/>
          </w:tcPr>
          <w:p w14:paraId="62CCD141" w14:textId="77777777" w:rsidR="006D7877" w:rsidRPr="00D9106F" w:rsidRDefault="00AE2596">
            <w:pPr>
              <w:pStyle w:val="P68B1DB1-TableParagraph7"/>
              <w:spacing w:line="225" w:lineRule="exact"/>
              <w:ind w:right="458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15%</w:t>
            </w:r>
          </w:p>
        </w:tc>
        <w:tc>
          <w:tcPr>
            <w:tcW w:w="1146" w:type="dxa"/>
          </w:tcPr>
          <w:p w14:paraId="62CCD142" w14:textId="77777777" w:rsidR="006D7877" w:rsidRPr="00D9106F" w:rsidRDefault="00AE2596">
            <w:pPr>
              <w:pStyle w:val="P68B1DB1-TableParagraph7"/>
              <w:spacing w:line="225" w:lineRule="exact"/>
              <w:ind w:left="448" w:right="448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14:paraId="62CCD143" w14:textId="77777777" w:rsidR="006D7877" w:rsidRPr="00D9106F" w:rsidRDefault="006D78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D7877" w:rsidRPr="00D9106F" w14:paraId="62CCD14C" w14:textId="77777777">
        <w:trPr>
          <w:trHeight w:val="320"/>
        </w:trPr>
        <w:tc>
          <w:tcPr>
            <w:tcW w:w="1471" w:type="dxa"/>
          </w:tcPr>
          <w:p w14:paraId="62CCD145" w14:textId="77777777" w:rsidR="006D7877" w:rsidRPr="00D9106F" w:rsidRDefault="00AE2596">
            <w:pPr>
              <w:pStyle w:val="P68B1DB1-TableParagraph7"/>
              <w:spacing w:line="225" w:lineRule="exact"/>
              <w:ind w:left="105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&gt; </w:t>
            </w:r>
            <w:proofErr w:type="spellStart"/>
            <w:r w:rsidRPr="00D9106F">
              <w:rPr>
                <w:sz w:val="24"/>
                <w:szCs w:val="24"/>
              </w:rPr>
              <w:t>with</w:t>
            </w:r>
            <w:proofErr w:type="spellEnd"/>
            <w:r w:rsidRPr="00D9106F">
              <w:rPr>
                <w:sz w:val="24"/>
                <w:szCs w:val="24"/>
              </w:rPr>
              <w:t xml:space="preserve"> 5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</w:p>
        </w:tc>
        <w:tc>
          <w:tcPr>
            <w:tcW w:w="1771" w:type="dxa"/>
          </w:tcPr>
          <w:p w14:paraId="62CCD146" w14:textId="77777777" w:rsidR="006D7877" w:rsidRPr="00D9106F" w:rsidRDefault="00AE2596">
            <w:pPr>
              <w:pStyle w:val="P68B1DB1-TableParagraph7"/>
              <w:spacing w:line="225" w:lineRule="exact"/>
              <w:ind w:left="626" w:right="627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40%</w:t>
            </w:r>
          </w:p>
        </w:tc>
        <w:tc>
          <w:tcPr>
            <w:tcW w:w="1164" w:type="dxa"/>
          </w:tcPr>
          <w:p w14:paraId="62CCD147" w14:textId="77777777" w:rsidR="006D7877" w:rsidRPr="00D9106F" w:rsidRDefault="00AE2596">
            <w:pPr>
              <w:pStyle w:val="P68B1DB1-TableParagraph7"/>
              <w:spacing w:line="225" w:lineRule="exact"/>
              <w:ind w:right="389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20%</w:t>
            </w:r>
          </w:p>
        </w:tc>
        <w:tc>
          <w:tcPr>
            <w:tcW w:w="1056" w:type="dxa"/>
          </w:tcPr>
          <w:p w14:paraId="62CCD148" w14:textId="77777777" w:rsidR="006D7877" w:rsidRPr="00D9106F" w:rsidRDefault="00AE2596">
            <w:pPr>
              <w:pStyle w:val="P68B1DB1-TableParagraph7"/>
              <w:spacing w:line="225" w:lineRule="exact"/>
              <w:ind w:right="337"/>
              <w:jc w:val="right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15%</w:t>
            </w:r>
          </w:p>
        </w:tc>
        <w:tc>
          <w:tcPr>
            <w:tcW w:w="1296" w:type="dxa"/>
          </w:tcPr>
          <w:p w14:paraId="62CCD149" w14:textId="77777777" w:rsidR="006D7877" w:rsidRPr="00D9106F" w:rsidRDefault="00AE2596">
            <w:pPr>
              <w:pStyle w:val="P68B1DB1-TableParagraph7"/>
              <w:spacing w:line="225" w:lineRule="exact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*</w:t>
            </w:r>
          </w:p>
        </w:tc>
        <w:tc>
          <w:tcPr>
            <w:tcW w:w="1146" w:type="dxa"/>
          </w:tcPr>
          <w:p w14:paraId="62CCD14A" w14:textId="77777777" w:rsidR="006D7877" w:rsidRPr="00D9106F" w:rsidRDefault="00AE2596">
            <w:pPr>
              <w:pStyle w:val="P68B1DB1-TableParagraph7"/>
              <w:spacing w:line="225" w:lineRule="exact"/>
              <w:ind w:right="3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*</w:t>
            </w:r>
          </w:p>
        </w:tc>
        <w:tc>
          <w:tcPr>
            <w:tcW w:w="1159" w:type="dxa"/>
          </w:tcPr>
          <w:p w14:paraId="62CCD14B" w14:textId="77777777" w:rsidR="006D7877" w:rsidRPr="00D9106F" w:rsidRDefault="00AE2596">
            <w:pPr>
              <w:pStyle w:val="P68B1DB1-TableParagraph7"/>
              <w:spacing w:line="225" w:lineRule="exact"/>
              <w:jc w:val="center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>*</w:t>
            </w:r>
          </w:p>
        </w:tc>
      </w:tr>
      <w:tr w:rsidR="006D7877" w:rsidRPr="00D9106F" w14:paraId="62CCD153" w14:textId="77777777">
        <w:trPr>
          <w:trHeight w:val="5180"/>
        </w:trPr>
        <w:tc>
          <w:tcPr>
            <w:tcW w:w="9064" w:type="dxa"/>
            <w:gridSpan w:val="7"/>
          </w:tcPr>
          <w:p w14:paraId="62CCD14D" w14:textId="7ECBDBFA" w:rsidR="006D7877" w:rsidRPr="00D9106F" w:rsidRDefault="00AE2596">
            <w:pPr>
              <w:pStyle w:val="P68B1DB1-TableParagraph7"/>
              <w:spacing w:line="362" w:lineRule="auto"/>
              <w:ind w:left="105" w:right="548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In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academic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with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more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than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five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if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="00352395" w:rsidRPr="00D9106F">
              <w:rPr>
                <w:sz w:val="24"/>
                <w:szCs w:val="24"/>
              </w:rPr>
              <w:t>are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more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than</w:t>
            </w:r>
            <w:proofErr w:type="spellEnd"/>
            <w:r w:rsidRPr="00D9106F">
              <w:rPr>
                <w:sz w:val="24"/>
                <w:szCs w:val="24"/>
              </w:rPr>
              <w:t xml:space="preserve"> 3 </w:t>
            </w:r>
            <w:proofErr w:type="spellStart"/>
            <w:r w:rsidRPr="00D9106F">
              <w:rPr>
                <w:sz w:val="24"/>
                <w:szCs w:val="24"/>
              </w:rPr>
              <w:t>Istanbul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addresses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after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4th name;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remaining</w:t>
            </w:r>
            <w:proofErr w:type="spellEnd"/>
            <w:r w:rsidRPr="00D9106F">
              <w:rPr>
                <w:sz w:val="24"/>
                <w:szCs w:val="24"/>
              </w:rPr>
              <w:t xml:space="preserve"> 25% of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total </w:t>
            </w:r>
            <w:proofErr w:type="spellStart"/>
            <w:r w:rsidRPr="00D9106F">
              <w:rPr>
                <w:sz w:val="24"/>
                <w:szCs w:val="24"/>
              </w:rPr>
              <w:t>progress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payment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divided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by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number</w:t>
            </w:r>
            <w:proofErr w:type="spellEnd"/>
            <w:r w:rsidRPr="00D9106F">
              <w:rPr>
                <w:sz w:val="24"/>
                <w:szCs w:val="24"/>
              </w:rPr>
              <w:t xml:space="preserve"> of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from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University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and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paid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relevant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persons</w:t>
            </w:r>
            <w:proofErr w:type="spellEnd"/>
            <w:r w:rsidRPr="00D9106F">
              <w:rPr>
                <w:sz w:val="24"/>
                <w:szCs w:val="24"/>
              </w:rPr>
              <w:t>.</w:t>
            </w:r>
          </w:p>
          <w:p w14:paraId="62CCD14E" w14:textId="77777777" w:rsidR="006D7877" w:rsidRPr="00D9106F" w:rsidRDefault="00AE2596">
            <w:pPr>
              <w:pStyle w:val="P68B1DB1-TableParagraph7"/>
              <w:spacing w:before="8" w:line="362" w:lineRule="auto"/>
              <w:ind w:left="-1" w:right="266" w:hanging="1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In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academic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with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more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than</w:t>
            </w:r>
            <w:proofErr w:type="spellEnd"/>
            <w:r w:rsidRPr="00D9106F">
              <w:rPr>
                <w:sz w:val="24"/>
                <w:szCs w:val="24"/>
              </w:rPr>
              <w:t xml:space="preserve"> 5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if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there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no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person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with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more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than</w:t>
            </w:r>
            <w:proofErr w:type="spellEnd"/>
            <w:r w:rsidRPr="00D9106F">
              <w:rPr>
                <w:sz w:val="24"/>
                <w:szCs w:val="24"/>
              </w:rPr>
              <w:t xml:space="preserve"> 3 </w:t>
            </w:r>
            <w:proofErr w:type="spellStart"/>
            <w:r w:rsidRPr="00D9106F">
              <w:rPr>
                <w:sz w:val="24"/>
                <w:szCs w:val="24"/>
              </w:rPr>
              <w:t>Istanbul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University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addresses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after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4th name; 10% is </w:t>
            </w:r>
            <w:proofErr w:type="spellStart"/>
            <w:r w:rsidRPr="00D9106F">
              <w:rPr>
                <w:sz w:val="24"/>
                <w:szCs w:val="24"/>
              </w:rPr>
              <w:t>paid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for</w:t>
            </w:r>
            <w:proofErr w:type="spellEnd"/>
            <w:r w:rsidRPr="00D9106F">
              <w:rPr>
                <w:sz w:val="24"/>
                <w:szCs w:val="24"/>
              </w:rPr>
              <w:t xml:space="preserve"> 1 </w:t>
            </w:r>
            <w:proofErr w:type="spellStart"/>
            <w:r w:rsidRPr="00D9106F">
              <w:rPr>
                <w:sz w:val="24"/>
                <w:szCs w:val="24"/>
              </w:rPr>
              <w:t>Istanbul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University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  <w:r w:rsidRPr="00D9106F">
              <w:rPr>
                <w:sz w:val="24"/>
                <w:szCs w:val="24"/>
              </w:rPr>
              <w:t xml:space="preserve">, 15% is </w:t>
            </w:r>
            <w:proofErr w:type="spellStart"/>
            <w:r w:rsidRPr="00D9106F">
              <w:rPr>
                <w:sz w:val="24"/>
                <w:szCs w:val="24"/>
              </w:rPr>
              <w:t>paid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equally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for</w:t>
            </w:r>
            <w:proofErr w:type="spellEnd"/>
            <w:r w:rsidRPr="00D9106F">
              <w:rPr>
                <w:sz w:val="24"/>
                <w:szCs w:val="24"/>
              </w:rPr>
              <w:t xml:space="preserve"> 2 </w:t>
            </w:r>
            <w:proofErr w:type="spellStart"/>
            <w:r w:rsidRPr="00D9106F">
              <w:rPr>
                <w:sz w:val="24"/>
                <w:szCs w:val="24"/>
              </w:rPr>
              <w:t>Istanbul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University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members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and</w:t>
            </w:r>
            <w:proofErr w:type="spellEnd"/>
            <w:r w:rsidRPr="00D9106F">
              <w:rPr>
                <w:sz w:val="24"/>
                <w:szCs w:val="24"/>
              </w:rPr>
              <w:t xml:space="preserve"> 20% is </w:t>
            </w:r>
            <w:proofErr w:type="spellStart"/>
            <w:r w:rsidRPr="00D9106F">
              <w:rPr>
                <w:sz w:val="24"/>
                <w:szCs w:val="24"/>
              </w:rPr>
              <w:t>shared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equally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for</w:t>
            </w:r>
            <w:proofErr w:type="spellEnd"/>
            <w:r w:rsidRPr="00D9106F">
              <w:rPr>
                <w:sz w:val="24"/>
                <w:szCs w:val="24"/>
              </w:rPr>
              <w:t xml:space="preserve"> 3 </w:t>
            </w:r>
            <w:proofErr w:type="spellStart"/>
            <w:r w:rsidRPr="00D9106F">
              <w:rPr>
                <w:sz w:val="24"/>
                <w:szCs w:val="24"/>
              </w:rPr>
              <w:t>Istanbul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Medipol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University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. </w:t>
            </w:r>
            <w:r w:rsidRPr="00D9106F">
              <w:rPr>
                <w:b/>
                <w:sz w:val="24"/>
                <w:szCs w:val="24"/>
              </w:rPr>
              <w:t>(</w:t>
            </w:r>
            <w:proofErr w:type="spellStart"/>
            <w:r w:rsidRPr="00D9106F">
              <w:rPr>
                <w:b/>
                <w:sz w:val="24"/>
                <w:szCs w:val="24"/>
              </w:rPr>
              <w:t>Amendment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9106F">
              <w:rPr>
                <w:b/>
                <w:sz w:val="24"/>
                <w:szCs w:val="24"/>
              </w:rPr>
              <w:t>Senate</w:t>
            </w:r>
            <w:proofErr w:type="spellEnd"/>
            <w:proofErr w:type="gram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Decision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dated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13/03/2019 </w:t>
            </w:r>
            <w:proofErr w:type="spellStart"/>
            <w:r w:rsidRPr="00D9106F">
              <w:rPr>
                <w:b/>
                <w:sz w:val="24"/>
                <w:szCs w:val="24"/>
              </w:rPr>
              <w:t>and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numbered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2019/03-02)</w:t>
            </w:r>
            <w:r w:rsidRPr="00D9106F">
              <w:rPr>
                <w:sz w:val="24"/>
                <w:szCs w:val="24"/>
              </w:rPr>
              <w:t>.</w:t>
            </w:r>
          </w:p>
          <w:p w14:paraId="62CCD14F" w14:textId="77777777" w:rsidR="006D7877" w:rsidRPr="00D9106F" w:rsidRDefault="00AE2596">
            <w:pPr>
              <w:pStyle w:val="P68B1DB1-TableParagraph7"/>
              <w:spacing w:line="360" w:lineRule="auto"/>
              <w:ind w:left="-1" w:right="320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If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last</w:t>
            </w:r>
            <w:proofErr w:type="spellEnd"/>
            <w:r w:rsidRPr="00D9106F">
              <w:rPr>
                <w:sz w:val="24"/>
                <w:szCs w:val="24"/>
              </w:rPr>
              <w:t xml:space="preserve"> name is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corresponding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and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mentioned</w:t>
            </w:r>
            <w:proofErr w:type="spellEnd"/>
            <w:r w:rsidRPr="00D9106F">
              <w:rPr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article</w:t>
            </w:r>
            <w:proofErr w:type="spellEnd"/>
            <w:r w:rsidRPr="00D9106F">
              <w:rPr>
                <w:sz w:val="24"/>
                <w:szCs w:val="24"/>
              </w:rPr>
              <w:t xml:space="preserve">, 30% of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deserved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point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given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regardless</w:t>
            </w:r>
            <w:proofErr w:type="spellEnd"/>
            <w:r w:rsidRPr="00D9106F">
              <w:rPr>
                <w:sz w:val="24"/>
                <w:szCs w:val="24"/>
              </w:rPr>
              <w:t xml:space="preserve"> of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number</w:t>
            </w:r>
            <w:proofErr w:type="spellEnd"/>
            <w:r w:rsidRPr="00D9106F">
              <w:rPr>
                <w:sz w:val="24"/>
                <w:szCs w:val="24"/>
              </w:rPr>
              <w:t xml:space="preserve"> of </w:t>
            </w:r>
            <w:proofErr w:type="spellStart"/>
            <w:r w:rsidRPr="00D9106F">
              <w:rPr>
                <w:sz w:val="24"/>
                <w:szCs w:val="24"/>
              </w:rPr>
              <w:t>authors</w:t>
            </w:r>
            <w:proofErr w:type="spellEnd"/>
            <w:r w:rsidRPr="00D9106F">
              <w:rPr>
                <w:sz w:val="24"/>
                <w:szCs w:val="24"/>
              </w:rPr>
              <w:t xml:space="preserve"> (</w:t>
            </w:r>
            <w:proofErr w:type="spellStart"/>
            <w:r w:rsidRPr="00D9106F">
              <w:rPr>
                <w:sz w:val="24"/>
                <w:szCs w:val="24"/>
              </w:rPr>
              <w:t>no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additional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points</w:t>
            </w:r>
            <w:proofErr w:type="spellEnd"/>
            <w:r w:rsidRPr="00D9106F">
              <w:rPr>
                <w:sz w:val="24"/>
                <w:szCs w:val="24"/>
              </w:rPr>
              <w:t xml:space="preserve"> can be </w:t>
            </w:r>
            <w:proofErr w:type="spellStart"/>
            <w:r w:rsidRPr="00D9106F">
              <w:rPr>
                <w:sz w:val="24"/>
                <w:szCs w:val="24"/>
              </w:rPr>
              <w:t>obtained</w:t>
            </w:r>
            <w:proofErr w:type="spellEnd"/>
            <w:r w:rsidRPr="00D9106F">
              <w:rPr>
                <w:sz w:val="24"/>
                <w:szCs w:val="24"/>
              </w:rPr>
              <w:t>).</w:t>
            </w:r>
          </w:p>
          <w:p w14:paraId="62CCD150" w14:textId="0DD54BBF" w:rsidR="006D7877" w:rsidRPr="00D9106F" w:rsidRDefault="00AE2596">
            <w:pPr>
              <w:pStyle w:val="P68B1DB1-TableParagraph7"/>
              <w:spacing w:before="3" w:line="360" w:lineRule="auto"/>
              <w:ind w:left="-1"/>
              <w:rPr>
                <w:sz w:val="24"/>
                <w:szCs w:val="24"/>
              </w:rPr>
            </w:pPr>
            <w:proofErr w:type="spellStart"/>
            <w:r w:rsidRPr="00D9106F">
              <w:rPr>
                <w:sz w:val="24"/>
                <w:szCs w:val="24"/>
              </w:rPr>
              <w:t>Articles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="004E6E7B" w:rsidRPr="00D9106F">
              <w:rPr>
                <w:sz w:val="24"/>
                <w:szCs w:val="24"/>
              </w:rPr>
              <w:t>are</w:t>
            </w:r>
            <w:proofErr w:type="spellEnd"/>
            <w:r w:rsidR="004E6E7B"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written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with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national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and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international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partnerships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etc</w:t>
            </w:r>
            <w:proofErr w:type="spellEnd"/>
            <w:r w:rsidRPr="00D9106F">
              <w:rPr>
                <w:sz w:val="24"/>
                <w:szCs w:val="24"/>
              </w:rPr>
              <w:t xml:space="preserve">.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same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rules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apply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above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for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publications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sz w:val="24"/>
                <w:szCs w:val="24"/>
              </w:rPr>
              <w:t>and</w:t>
            </w:r>
            <w:proofErr w:type="spellEnd"/>
            <w:r w:rsidRPr="00D9106F">
              <w:rPr>
                <w:sz w:val="24"/>
                <w:szCs w:val="24"/>
              </w:rPr>
              <w:t xml:space="preserve"> 5% </w:t>
            </w:r>
            <w:proofErr w:type="spellStart"/>
            <w:r w:rsidRPr="00D9106F">
              <w:rPr>
                <w:sz w:val="24"/>
                <w:szCs w:val="24"/>
              </w:rPr>
              <w:t>according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total </w:t>
            </w:r>
            <w:proofErr w:type="spellStart"/>
            <w:r w:rsidRPr="00D9106F">
              <w:rPr>
                <w:sz w:val="24"/>
                <w:szCs w:val="24"/>
              </w:rPr>
              <w:t>incentive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paid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per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</w:t>
            </w:r>
            <w:proofErr w:type="spellEnd"/>
            <w:r w:rsidRPr="00D9106F">
              <w:rPr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sz w:val="24"/>
                <w:szCs w:val="24"/>
              </w:rPr>
              <w:t>national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multi-cent</w:t>
            </w:r>
            <w:r w:rsidR="004E6E7B" w:rsidRPr="00D9106F">
              <w:rPr>
                <w:sz w:val="24"/>
                <w:szCs w:val="24"/>
              </w:rPr>
              <w:t>re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joint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publications</w:t>
            </w:r>
            <w:proofErr w:type="spellEnd"/>
            <w:r w:rsidRPr="00D9106F">
              <w:rPr>
                <w:sz w:val="24"/>
                <w:szCs w:val="24"/>
              </w:rPr>
              <w:t xml:space="preserve">, </w:t>
            </w:r>
          </w:p>
          <w:p w14:paraId="62CCD151" w14:textId="77777777" w:rsidR="006D7877" w:rsidRPr="00D9106F" w:rsidRDefault="00AE2596">
            <w:pPr>
              <w:pStyle w:val="P68B1DB1-TableParagraph7"/>
              <w:spacing w:before="3" w:line="360" w:lineRule="auto"/>
              <w:ind w:left="-1" w:right="-3"/>
              <w:jc w:val="both"/>
              <w:rPr>
                <w:b/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106F">
              <w:rPr>
                <w:sz w:val="24"/>
                <w:szCs w:val="24"/>
              </w:rPr>
              <w:t>and</w:t>
            </w:r>
            <w:proofErr w:type="spellEnd"/>
            <w:proofErr w:type="gramEnd"/>
            <w:r w:rsidRPr="00D9106F">
              <w:rPr>
                <w:sz w:val="24"/>
                <w:szCs w:val="24"/>
              </w:rPr>
              <w:t xml:space="preserve"> 5% in </w:t>
            </w:r>
            <w:proofErr w:type="spellStart"/>
            <w:r w:rsidRPr="00D9106F">
              <w:rPr>
                <w:sz w:val="24"/>
                <w:szCs w:val="24"/>
              </w:rPr>
              <w:t>international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joint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publications</w:t>
            </w:r>
            <w:proofErr w:type="spellEnd"/>
            <w:r w:rsidRPr="00D9106F">
              <w:rPr>
                <w:sz w:val="24"/>
                <w:szCs w:val="24"/>
              </w:rPr>
              <w:t xml:space="preserve"> 15% </w:t>
            </w:r>
            <w:proofErr w:type="spellStart"/>
            <w:r w:rsidRPr="00D9106F">
              <w:rPr>
                <w:sz w:val="24"/>
                <w:szCs w:val="24"/>
              </w:rPr>
              <w:t>more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paid</w:t>
            </w:r>
            <w:proofErr w:type="spellEnd"/>
            <w:r w:rsidRPr="00D9106F">
              <w:rPr>
                <w:sz w:val="24"/>
                <w:szCs w:val="24"/>
              </w:rPr>
              <w:t xml:space="preserve">.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In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this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context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,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for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international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multicenter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studies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, 40%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more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paid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for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those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published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journals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the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1%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and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25%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more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for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those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published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journals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color w:val="201F1E"/>
                <w:sz w:val="24"/>
                <w:szCs w:val="24"/>
              </w:rPr>
              <w:t>the</w:t>
            </w:r>
            <w:proofErr w:type="spellEnd"/>
            <w:r w:rsidRPr="00D9106F">
              <w:rPr>
                <w:color w:val="201F1E"/>
                <w:sz w:val="24"/>
                <w:szCs w:val="24"/>
              </w:rPr>
              <w:t xml:space="preserve"> 10% </w:t>
            </w:r>
            <w:r w:rsidRPr="00D9106F">
              <w:rPr>
                <w:b/>
                <w:sz w:val="24"/>
                <w:szCs w:val="24"/>
              </w:rPr>
              <w:t>(</w:t>
            </w:r>
            <w:proofErr w:type="spellStart"/>
            <w:r w:rsidRPr="00D9106F">
              <w:rPr>
                <w:b/>
                <w:sz w:val="24"/>
                <w:szCs w:val="24"/>
              </w:rPr>
              <w:t>Amendment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D9106F">
              <w:rPr>
                <w:b/>
                <w:sz w:val="24"/>
                <w:szCs w:val="24"/>
              </w:rPr>
              <w:t>Senate</w:t>
            </w:r>
            <w:proofErr w:type="spellEnd"/>
            <w:proofErr w:type="gram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Decision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dated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23/03/2021 </w:t>
            </w:r>
            <w:proofErr w:type="spellStart"/>
            <w:r w:rsidRPr="00D9106F">
              <w:rPr>
                <w:b/>
                <w:sz w:val="24"/>
                <w:szCs w:val="24"/>
              </w:rPr>
              <w:t>and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b/>
                <w:sz w:val="24"/>
                <w:szCs w:val="24"/>
              </w:rPr>
              <w:t>numbered</w:t>
            </w:r>
            <w:proofErr w:type="spellEnd"/>
            <w:r w:rsidRPr="00D9106F">
              <w:rPr>
                <w:b/>
                <w:sz w:val="24"/>
                <w:szCs w:val="24"/>
              </w:rPr>
              <w:t xml:space="preserve"> 2021/05-04).</w:t>
            </w:r>
          </w:p>
          <w:p w14:paraId="62CCD152" w14:textId="6D9FC7CA" w:rsidR="006D7877" w:rsidRPr="00D9106F" w:rsidRDefault="00AE2596">
            <w:pPr>
              <w:pStyle w:val="P68B1DB1-TableParagraph7"/>
              <w:spacing w:before="8"/>
              <w:ind w:left="-1"/>
              <w:rPr>
                <w:sz w:val="24"/>
                <w:szCs w:val="24"/>
              </w:rPr>
            </w:pPr>
            <w:r w:rsidRPr="00D9106F">
              <w:rPr>
                <w:sz w:val="24"/>
                <w:szCs w:val="24"/>
              </w:rPr>
              <w:t xml:space="preserve">No </w:t>
            </w:r>
            <w:proofErr w:type="spellStart"/>
            <w:r w:rsidRPr="00D9106F">
              <w:rPr>
                <w:sz w:val="24"/>
                <w:szCs w:val="24"/>
              </w:rPr>
              <w:t>payment</w:t>
            </w:r>
            <w:proofErr w:type="spellEnd"/>
            <w:r w:rsidRPr="00D9106F">
              <w:rPr>
                <w:sz w:val="24"/>
                <w:szCs w:val="24"/>
              </w:rPr>
              <w:t xml:space="preserve"> is </w:t>
            </w:r>
            <w:proofErr w:type="spellStart"/>
            <w:r w:rsidRPr="00D9106F">
              <w:rPr>
                <w:sz w:val="24"/>
                <w:szCs w:val="24"/>
              </w:rPr>
              <w:t>made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to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those</w:t>
            </w:r>
            <w:proofErr w:type="spellEnd"/>
            <w:r w:rsidRPr="00D9106F">
              <w:rPr>
                <w:sz w:val="24"/>
                <w:szCs w:val="24"/>
              </w:rPr>
              <w:t xml:space="preserve"> not </w:t>
            </w:r>
            <w:proofErr w:type="spellStart"/>
            <w:r w:rsidRPr="00D9106F">
              <w:rPr>
                <w:sz w:val="24"/>
                <w:szCs w:val="24"/>
              </w:rPr>
              <w:t>included</w:t>
            </w:r>
            <w:proofErr w:type="spellEnd"/>
            <w:r w:rsidRPr="00D9106F">
              <w:rPr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article</w:t>
            </w:r>
            <w:proofErr w:type="spellEnd"/>
            <w:r w:rsidRPr="00D9106F">
              <w:rPr>
                <w:sz w:val="24"/>
                <w:szCs w:val="24"/>
              </w:rPr>
              <w:t xml:space="preserve"> as an </w:t>
            </w:r>
            <w:proofErr w:type="spellStart"/>
            <w:r w:rsidRPr="00D9106F">
              <w:rPr>
                <w:sz w:val="24"/>
                <w:szCs w:val="24"/>
              </w:rPr>
              <w:t>author</w:t>
            </w:r>
            <w:proofErr w:type="spellEnd"/>
            <w:r w:rsidRPr="00D9106F">
              <w:rPr>
                <w:sz w:val="24"/>
                <w:szCs w:val="24"/>
              </w:rPr>
              <w:t xml:space="preserve"> but </w:t>
            </w:r>
            <w:proofErr w:type="spellStart"/>
            <w:r w:rsidRPr="00D9106F">
              <w:rPr>
                <w:sz w:val="24"/>
                <w:szCs w:val="24"/>
              </w:rPr>
              <w:t>only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included</w:t>
            </w:r>
            <w:proofErr w:type="spellEnd"/>
            <w:r w:rsidRPr="00D9106F">
              <w:rPr>
                <w:sz w:val="24"/>
                <w:szCs w:val="24"/>
              </w:rPr>
              <w:t xml:space="preserve"> in </w:t>
            </w:r>
            <w:proofErr w:type="spellStart"/>
            <w:r w:rsidRPr="00D9106F">
              <w:rPr>
                <w:sz w:val="24"/>
                <w:szCs w:val="24"/>
              </w:rPr>
              <w:t>the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working</w:t>
            </w:r>
            <w:proofErr w:type="spellEnd"/>
            <w:r w:rsidRPr="00D9106F">
              <w:rPr>
                <w:sz w:val="24"/>
                <w:szCs w:val="24"/>
              </w:rPr>
              <w:t xml:space="preserve"> </w:t>
            </w:r>
            <w:proofErr w:type="spellStart"/>
            <w:r w:rsidRPr="00D9106F">
              <w:rPr>
                <w:sz w:val="24"/>
                <w:szCs w:val="24"/>
              </w:rPr>
              <w:t>group</w:t>
            </w:r>
            <w:proofErr w:type="spellEnd"/>
            <w:r w:rsidRPr="00D9106F">
              <w:rPr>
                <w:sz w:val="24"/>
                <w:szCs w:val="24"/>
              </w:rPr>
              <w:t>.</w:t>
            </w:r>
          </w:p>
        </w:tc>
      </w:tr>
    </w:tbl>
    <w:p w14:paraId="62CCD154" w14:textId="77777777" w:rsidR="006D7877" w:rsidRPr="00D9106F" w:rsidRDefault="006D7877">
      <w:pPr>
        <w:pStyle w:val="GvdeMetni"/>
        <w:spacing w:before="9"/>
        <w:ind w:left="0"/>
        <w:jc w:val="left"/>
        <w:rPr>
          <w:szCs w:val="24"/>
        </w:rPr>
      </w:pPr>
    </w:p>
    <w:p w14:paraId="62CCD155" w14:textId="2C430CAD" w:rsidR="006D7877" w:rsidRPr="00D9106F" w:rsidRDefault="00AE2596">
      <w:pPr>
        <w:pStyle w:val="P68B1DB1-ListParagraph3"/>
        <w:numPr>
          <w:ilvl w:val="0"/>
          <w:numId w:val="2"/>
        </w:numPr>
        <w:tabs>
          <w:tab w:val="left" w:pos="830"/>
        </w:tabs>
        <w:spacing w:before="90" w:line="360" w:lineRule="auto"/>
        <w:ind w:right="462" w:firstLine="360"/>
        <w:jc w:val="both"/>
        <w:rPr>
          <w:szCs w:val="24"/>
        </w:rPr>
      </w:pPr>
      <w:r w:rsidRPr="00D9106F">
        <w:rPr>
          <w:szCs w:val="24"/>
        </w:rPr>
        <w:t xml:space="preserve">(a) </w:t>
      </w:r>
      <w:proofErr w:type="spellStart"/>
      <w:r w:rsidRPr="00D9106F">
        <w:rPr>
          <w:szCs w:val="24"/>
        </w:rPr>
        <w:t>If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there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more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one</w:t>
      </w:r>
      <w:proofErr w:type="spellEnd"/>
      <w:r w:rsidRPr="00D9106F">
        <w:rPr>
          <w:szCs w:val="24"/>
        </w:rPr>
        <w:t xml:space="preserve"> name </w:t>
      </w:r>
      <w:proofErr w:type="spellStart"/>
      <w:r w:rsidRPr="00D9106F">
        <w:rPr>
          <w:szCs w:val="24"/>
        </w:rPr>
        <w:t>from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lecturers</w:t>
      </w:r>
      <w:proofErr w:type="spellEnd"/>
      <w:r w:rsidRPr="00D9106F">
        <w:rPr>
          <w:szCs w:val="24"/>
        </w:rPr>
        <w:t xml:space="preserve"> as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inventor</w:t>
      </w:r>
      <w:proofErr w:type="spellEnd"/>
      <w:r w:rsidRPr="00D9106F">
        <w:rPr>
          <w:szCs w:val="24"/>
        </w:rPr>
        <w:t xml:space="preserve"> in patent,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applications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dividing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inventors</w:t>
      </w:r>
      <w:proofErr w:type="spellEnd"/>
      <w:r w:rsidR="00352395" w:rsidRPr="00D9106F">
        <w:rPr>
          <w:szCs w:val="24"/>
        </w:rPr>
        <w:t>’</w:t>
      </w:r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contribution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specified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</w:t>
      </w:r>
      <w:proofErr w:type="spellEnd"/>
      <w:r w:rsidRPr="00D9106F">
        <w:rPr>
          <w:szCs w:val="24"/>
        </w:rPr>
        <w:t xml:space="preserve"> Notification Form. </w:t>
      </w:r>
      <w:proofErr w:type="spellStart"/>
      <w:r w:rsidRPr="00D9106F">
        <w:rPr>
          <w:szCs w:val="24"/>
        </w:rPr>
        <w:t>Patents</w:t>
      </w:r>
      <w:proofErr w:type="spellEnd"/>
      <w:r w:rsidRPr="00D9106F">
        <w:rPr>
          <w:szCs w:val="24"/>
        </w:rPr>
        <w:t xml:space="preserve">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models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designs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have</w:t>
      </w:r>
      <w:proofErr w:type="spellEnd"/>
      <w:r w:rsidRPr="00D9106F">
        <w:rPr>
          <w:szCs w:val="24"/>
        </w:rPr>
        <w:t xml:space="preserve"> not </w:t>
      </w:r>
      <w:proofErr w:type="spellStart"/>
      <w:r w:rsidRPr="00D9106F">
        <w:rPr>
          <w:szCs w:val="24"/>
        </w:rPr>
        <w:t>received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before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included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scope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="0035143D" w:rsidRPr="00D9106F">
        <w:rPr>
          <w:szCs w:val="24"/>
        </w:rPr>
        <w:t>instruction</w:t>
      </w:r>
      <w:proofErr w:type="spellEnd"/>
      <w:r w:rsidRPr="00D9106F">
        <w:rPr>
          <w:szCs w:val="24"/>
        </w:rPr>
        <w:t>.</w:t>
      </w:r>
    </w:p>
    <w:p w14:paraId="62CCD156" w14:textId="77777777" w:rsidR="006D7877" w:rsidRPr="00D9106F" w:rsidRDefault="00AE2596">
      <w:pPr>
        <w:pStyle w:val="GvdeMetni"/>
        <w:spacing w:before="169"/>
        <w:ind w:left="1039"/>
        <w:jc w:val="left"/>
        <w:rPr>
          <w:szCs w:val="24"/>
        </w:rPr>
      </w:pPr>
      <w:proofErr w:type="spellStart"/>
      <w:r w:rsidRPr="00D9106F">
        <w:rPr>
          <w:szCs w:val="24"/>
        </w:rPr>
        <w:lastRenderedPageBreak/>
        <w:t>Table</w:t>
      </w:r>
      <w:proofErr w:type="spellEnd"/>
      <w:r w:rsidRPr="00D9106F">
        <w:rPr>
          <w:szCs w:val="24"/>
        </w:rPr>
        <w:t xml:space="preserve"> 3: Patent/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Model/Design </w:t>
      </w:r>
      <w:proofErr w:type="spellStart"/>
      <w:r w:rsidRPr="00D9106F">
        <w:rPr>
          <w:szCs w:val="24"/>
        </w:rPr>
        <w:t>Coefficients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Table</w:t>
      </w:r>
      <w:proofErr w:type="spellEnd"/>
    </w:p>
    <w:p w14:paraId="62CCD157" w14:textId="77777777" w:rsidR="006D7877" w:rsidRPr="00D9106F" w:rsidRDefault="006D7877">
      <w:pPr>
        <w:pStyle w:val="GvdeMetni"/>
        <w:spacing w:after="1"/>
        <w:ind w:left="0"/>
        <w:jc w:val="left"/>
        <w:rPr>
          <w:szCs w:val="24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704"/>
        <w:gridCol w:w="1844"/>
      </w:tblGrid>
      <w:tr w:rsidR="006D7877" w:rsidRPr="00D9106F" w14:paraId="62CCD15A" w14:textId="77777777">
        <w:trPr>
          <w:trHeight w:val="260"/>
        </w:trPr>
        <w:tc>
          <w:tcPr>
            <w:tcW w:w="4079" w:type="dxa"/>
            <w:vMerge w:val="restart"/>
          </w:tcPr>
          <w:p w14:paraId="62CCD158" w14:textId="77777777" w:rsidR="006D7877" w:rsidRPr="00D9106F" w:rsidRDefault="00AE2596">
            <w:pPr>
              <w:pStyle w:val="P68B1DB1-TableParagraph8"/>
              <w:spacing w:line="270" w:lineRule="exact"/>
              <w:ind w:left="112"/>
              <w:rPr>
                <w:szCs w:val="24"/>
              </w:rPr>
            </w:pPr>
            <w:proofErr w:type="spellStart"/>
            <w:r w:rsidRPr="00D9106F">
              <w:rPr>
                <w:szCs w:val="24"/>
              </w:rPr>
              <w:t>Type</w:t>
            </w:r>
            <w:proofErr w:type="spellEnd"/>
          </w:p>
        </w:tc>
        <w:tc>
          <w:tcPr>
            <w:tcW w:w="3548" w:type="dxa"/>
            <w:gridSpan w:val="2"/>
          </w:tcPr>
          <w:p w14:paraId="62CCD159" w14:textId="77777777" w:rsidR="006D7877" w:rsidRPr="00D9106F" w:rsidRDefault="00AE2596">
            <w:pPr>
              <w:pStyle w:val="P68B1DB1-TableParagraph8"/>
              <w:spacing w:line="240" w:lineRule="exact"/>
              <w:ind w:left="1233" w:right="1478"/>
              <w:jc w:val="center"/>
              <w:rPr>
                <w:szCs w:val="24"/>
              </w:rPr>
            </w:pPr>
            <w:proofErr w:type="spellStart"/>
            <w:r w:rsidRPr="00D9106F">
              <w:rPr>
                <w:szCs w:val="24"/>
              </w:rPr>
              <w:t>Coefficient</w:t>
            </w:r>
            <w:proofErr w:type="spellEnd"/>
          </w:p>
        </w:tc>
      </w:tr>
      <w:tr w:rsidR="006D7877" w:rsidRPr="00D9106F" w14:paraId="62CCD15E" w14:textId="77777777">
        <w:trPr>
          <w:trHeight w:val="260"/>
        </w:trPr>
        <w:tc>
          <w:tcPr>
            <w:tcW w:w="4079" w:type="dxa"/>
            <w:vMerge/>
            <w:tcBorders>
              <w:top w:val="nil"/>
            </w:tcBorders>
          </w:tcPr>
          <w:p w14:paraId="62CCD15B" w14:textId="77777777" w:rsidR="006D7877" w:rsidRPr="00D9106F" w:rsidRDefault="006D787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2CCD15C" w14:textId="77777777" w:rsidR="006D7877" w:rsidRPr="00D9106F" w:rsidRDefault="00AE2596">
            <w:pPr>
              <w:pStyle w:val="P68B1DB1-TableParagraph8"/>
              <w:spacing w:line="240" w:lineRule="exact"/>
              <w:ind w:left="400" w:right="386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Application</w:t>
            </w:r>
          </w:p>
        </w:tc>
        <w:tc>
          <w:tcPr>
            <w:tcW w:w="1844" w:type="dxa"/>
          </w:tcPr>
          <w:p w14:paraId="62CCD15D" w14:textId="77777777" w:rsidR="006D7877" w:rsidRPr="00D9106F" w:rsidRDefault="00AE2596">
            <w:pPr>
              <w:pStyle w:val="P68B1DB1-TableParagraph8"/>
              <w:spacing w:line="240" w:lineRule="exact"/>
              <w:ind w:left="598" w:right="595"/>
              <w:jc w:val="center"/>
              <w:rPr>
                <w:szCs w:val="24"/>
              </w:rPr>
            </w:pPr>
            <w:proofErr w:type="spellStart"/>
            <w:r w:rsidRPr="00D9106F">
              <w:rPr>
                <w:szCs w:val="24"/>
              </w:rPr>
              <w:t>Registration</w:t>
            </w:r>
            <w:proofErr w:type="spellEnd"/>
          </w:p>
        </w:tc>
      </w:tr>
      <w:tr w:rsidR="006D7877" w:rsidRPr="00D9106F" w14:paraId="62CCD162" w14:textId="77777777">
        <w:trPr>
          <w:trHeight w:val="260"/>
        </w:trPr>
        <w:tc>
          <w:tcPr>
            <w:tcW w:w="4079" w:type="dxa"/>
          </w:tcPr>
          <w:p w14:paraId="62CCD15F" w14:textId="77777777" w:rsidR="006D7877" w:rsidRPr="00D9106F" w:rsidRDefault="00AE2596">
            <w:pPr>
              <w:pStyle w:val="P68B1DB1-TableParagraph9"/>
              <w:spacing w:line="240" w:lineRule="exact"/>
              <w:ind w:left="112"/>
              <w:rPr>
                <w:szCs w:val="24"/>
              </w:rPr>
            </w:pPr>
            <w:r w:rsidRPr="00D9106F">
              <w:rPr>
                <w:szCs w:val="24"/>
              </w:rPr>
              <w:t>International patent</w:t>
            </w:r>
          </w:p>
        </w:tc>
        <w:tc>
          <w:tcPr>
            <w:tcW w:w="1704" w:type="dxa"/>
          </w:tcPr>
          <w:p w14:paraId="62CCD160" w14:textId="77777777" w:rsidR="006D7877" w:rsidRPr="00D9106F" w:rsidRDefault="00AE2596">
            <w:pPr>
              <w:pStyle w:val="P68B1DB1-TableParagraph9"/>
              <w:spacing w:line="240" w:lineRule="exact"/>
              <w:ind w:left="6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6</w:t>
            </w:r>
          </w:p>
        </w:tc>
        <w:tc>
          <w:tcPr>
            <w:tcW w:w="1844" w:type="dxa"/>
          </w:tcPr>
          <w:p w14:paraId="62CCD161" w14:textId="77777777" w:rsidR="006D7877" w:rsidRPr="00D9106F" w:rsidRDefault="00AE2596">
            <w:pPr>
              <w:pStyle w:val="P68B1DB1-TableParagraph9"/>
              <w:spacing w:line="240" w:lineRule="exact"/>
              <w:ind w:left="7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6</w:t>
            </w:r>
          </w:p>
        </w:tc>
      </w:tr>
      <w:tr w:rsidR="006D7877" w:rsidRPr="00D9106F" w14:paraId="62CCD166" w14:textId="77777777">
        <w:trPr>
          <w:trHeight w:val="260"/>
        </w:trPr>
        <w:tc>
          <w:tcPr>
            <w:tcW w:w="4079" w:type="dxa"/>
          </w:tcPr>
          <w:p w14:paraId="62CCD163" w14:textId="77777777" w:rsidR="006D7877" w:rsidRPr="00D9106F" w:rsidRDefault="00AE2596">
            <w:pPr>
              <w:pStyle w:val="P68B1DB1-TableParagraph9"/>
              <w:spacing w:line="240" w:lineRule="exact"/>
              <w:ind w:left="112"/>
              <w:rPr>
                <w:szCs w:val="24"/>
              </w:rPr>
            </w:pPr>
            <w:proofErr w:type="spellStart"/>
            <w:r w:rsidRPr="00D9106F">
              <w:rPr>
                <w:szCs w:val="24"/>
              </w:rPr>
              <w:t>National</w:t>
            </w:r>
            <w:proofErr w:type="spellEnd"/>
            <w:r w:rsidRPr="00D9106F">
              <w:rPr>
                <w:szCs w:val="24"/>
              </w:rPr>
              <w:t xml:space="preserve"> patent</w:t>
            </w:r>
          </w:p>
        </w:tc>
        <w:tc>
          <w:tcPr>
            <w:tcW w:w="1704" w:type="dxa"/>
          </w:tcPr>
          <w:p w14:paraId="62CCD164" w14:textId="77777777" w:rsidR="006D7877" w:rsidRPr="00D9106F" w:rsidRDefault="00AE2596">
            <w:pPr>
              <w:pStyle w:val="P68B1DB1-TableParagraph9"/>
              <w:spacing w:line="240" w:lineRule="exact"/>
              <w:ind w:left="8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2</w:t>
            </w:r>
          </w:p>
        </w:tc>
        <w:tc>
          <w:tcPr>
            <w:tcW w:w="1844" w:type="dxa"/>
          </w:tcPr>
          <w:p w14:paraId="62CCD165" w14:textId="77777777" w:rsidR="006D7877" w:rsidRPr="00D9106F" w:rsidRDefault="00AE2596">
            <w:pPr>
              <w:pStyle w:val="P68B1DB1-TableParagraph9"/>
              <w:spacing w:line="240" w:lineRule="exact"/>
              <w:ind w:left="10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2</w:t>
            </w:r>
          </w:p>
        </w:tc>
      </w:tr>
      <w:tr w:rsidR="006D7877" w:rsidRPr="00D9106F" w14:paraId="62CCD16A" w14:textId="77777777">
        <w:trPr>
          <w:trHeight w:val="260"/>
        </w:trPr>
        <w:tc>
          <w:tcPr>
            <w:tcW w:w="4079" w:type="dxa"/>
          </w:tcPr>
          <w:p w14:paraId="62CCD167" w14:textId="77777777" w:rsidR="006D7877" w:rsidRPr="00D9106F" w:rsidRDefault="00AE2596">
            <w:pPr>
              <w:pStyle w:val="P68B1DB1-TableParagraph9"/>
              <w:spacing w:line="240" w:lineRule="exact"/>
              <w:ind w:left="112"/>
              <w:rPr>
                <w:szCs w:val="24"/>
              </w:rPr>
            </w:pPr>
            <w:proofErr w:type="spellStart"/>
            <w:r w:rsidRPr="00D9106F">
              <w:rPr>
                <w:szCs w:val="24"/>
              </w:rPr>
              <w:t>Utility</w:t>
            </w:r>
            <w:proofErr w:type="spellEnd"/>
            <w:r w:rsidRPr="00D9106F">
              <w:rPr>
                <w:szCs w:val="24"/>
              </w:rPr>
              <w:t xml:space="preserve"> Model/ Design</w:t>
            </w:r>
          </w:p>
        </w:tc>
        <w:tc>
          <w:tcPr>
            <w:tcW w:w="1704" w:type="dxa"/>
          </w:tcPr>
          <w:p w14:paraId="62CCD168" w14:textId="77777777" w:rsidR="006D7877" w:rsidRPr="00D9106F" w:rsidRDefault="00AE2596">
            <w:pPr>
              <w:pStyle w:val="P68B1DB1-TableParagraph9"/>
              <w:spacing w:line="240" w:lineRule="exact"/>
              <w:ind w:left="9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1</w:t>
            </w:r>
          </w:p>
        </w:tc>
        <w:tc>
          <w:tcPr>
            <w:tcW w:w="1844" w:type="dxa"/>
          </w:tcPr>
          <w:p w14:paraId="62CCD169" w14:textId="77777777" w:rsidR="006D7877" w:rsidRPr="00D9106F" w:rsidRDefault="00AE2596">
            <w:pPr>
              <w:pStyle w:val="P68B1DB1-TableParagraph9"/>
              <w:spacing w:line="240" w:lineRule="exact"/>
              <w:ind w:left="10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1</w:t>
            </w:r>
          </w:p>
        </w:tc>
      </w:tr>
      <w:tr w:rsidR="006D7877" w:rsidRPr="00D9106F" w14:paraId="62CCD16E" w14:textId="77777777">
        <w:trPr>
          <w:trHeight w:val="260"/>
        </w:trPr>
        <w:tc>
          <w:tcPr>
            <w:tcW w:w="4079" w:type="dxa"/>
          </w:tcPr>
          <w:p w14:paraId="62CCD16B" w14:textId="77777777" w:rsidR="006D7877" w:rsidRPr="00D9106F" w:rsidRDefault="00AE2596">
            <w:pPr>
              <w:pStyle w:val="P68B1DB1-TableParagraph9"/>
              <w:spacing w:line="240" w:lineRule="exact"/>
              <w:ind w:left="112"/>
              <w:rPr>
                <w:szCs w:val="24"/>
              </w:rPr>
            </w:pPr>
            <w:r w:rsidRPr="00D9106F">
              <w:rPr>
                <w:szCs w:val="24"/>
              </w:rPr>
              <w:t>International Design</w:t>
            </w:r>
          </w:p>
        </w:tc>
        <w:tc>
          <w:tcPr>
            <w:tcW w:w="1704" w:type="dxa"/>
          </w:tcPr>
          <w:p w14:paraId="62CCD16C" w14:textId="77777777" w:rsidR="006D7877" w:rsidRPr="00D9106F" w:rsidRDefault="00AE2596">
            <w:pPr>
              <w:pStyle w:val="P68B1DB1-TableParagraph9"/>
              <w:spacing w:line="240" w:lineRule="exact"/>
              <w:ind w:left="9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2</w:t>
            </w:r>
          </w:p>
        </w:tc>
        <w:tc>
          <w:tcPr>
            <w:tcW w:w="1844" w:type="dxa"/>
          </w:tcPr>
          <w:p w14:paraId="62CCD16D" w14:textId="77777777" w:rsidR="006D7877" w:rsidRPr="00D9106F" w:rsidRDefault="00AE2596">
            <w:pPr>
              <w:pStyle w:val="P68B1DB1-TableParagraph9"/>
              <w:spacing w:line="240" w:lineRule="exact"/>
              <w:ind w:left="10"/>
              <w:jc w:val="center"/>
              <w:rPr>
                <w:szCs w:val="24"/>
              </w:rPr>
            </w:pPr>
            <w:r w:rsidRPr="00D9106F">
              <w:rPr>
                <w:szCs w:val="24"/>
              </w:rPr>
              <w:t>2</w:t>
            </w:r>
          </w:p>
        </w:tc>
      </w:tr>
    </w:tbl>
    <w:p w14:paraId="62CCD16F" w14:textId="77777777" w:rsidR="006D7877" w:rsidRPr="00D9106F" w:rsidRDefault="006D7877">
      <w:pPr>
        <w:pStyle w:val="GvdeMetni"/>
        <w:spacing w:before="9"/>
        <w:ind w:left="0"/>
        <w:jc w:val="left"/>
        <w:rPr>
          <w:szCs w:val="24"/>
        </w:rPr>
      </w:pPr>
    </w:p>
    <w:p w14:paraId="62CCD170" w14:textId="755890AA" w:rsidR="006D7877" w:rsidRPr="00D9106F" w:rsidRDefault="00352395">
      <w:pPr>
        <w:pStyle w:val="P68B1DB1-ListParagraph3"/>
        <w:numPr>
          <w:ilvl w:val="1"/>
          <w:numId w:val="2"/>
        </w:numPr>
        <w:tabs>
          <w:tab w:val="left" w:pos="1154"/>
        </w:tabs>
        <w:spacing w:before="0" w:line="360" w:lineRule="auto"/>
        <w:ind w:right="103" w:firstLine="492"/>
        <w:jc w:val="both"/>
        <w:rPr>
          <w:szCs w:val="24"/>
        </w:rPr>
      </w:pPr>
      <w:proofErr w:type="spellStart"/>
      <w:r w:rsidRPr="00D9106F">
        <w:rPr>
          <w:szCs w:val="24"/>
        </w:rPr>
        <w:t>Suppose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more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one</w:t>
      </w:r>
      <w:proofErr w:type="spellEnd"/>
      <w:r w:rsidRPr="00D9106F">
        <w:rPr>
          <w:szCs w:val="24"/>
        </w:rPr>
        <w:t xml:space="preserve"> (</w:t>
      </w:r>
      <w:proofErr w:type="spellStart"/>
      <w:r w:rsidRPr="00D9106F">
        <w:rPr>
          <w:szCs w:val="24"/>
        </w:rPr>
        <w:t>domestic</w:t>
      </w:r>
      <w:proofErr w:type="spellEnd"/>
      <w:r w:rsidRPr="00D9106F">
        <w:rPr>
          <w:szCs w:val="24"/>
        </w:rPr>
        <w:t xml:space="preserve"> patent, </w:t>
      </w:r>
      <w:proofErr w:type="spellStart"/>
      <w:r w:rsidRPr="00D9106F">
        <w:rPr>
          <w:szCs w:val="24"/>
        </w:rPr>
        <w:t>foreign</w:t>
      </w:r>
      <w:proofErr w:type="spellEnd"/>
      <w:r w:rsidRPr="00D9106F">
        <w:rPr>
          <w:szCs w:val="24"/>
        </w:rPr>
        <w:t xml:space="preserve"> patent, </w:t>
      </w:r>
      <w:proofErr w:type="spellStart"/>
      <w:r w:rsidRPr="00D9106F">
        <w:rPr>
          <w:szCs w:val="24"/>
        </w:rPr>
        <w:t>etc</w:t>
      </w:r>
      <w:proofErr w:type="spellEnd"/>
      <w:r w:rsidRPr="00D9106F">
        <w:rPr>
          <w:szCs w:val="24"/>
        </w:rPr>
        <w:t xml:space="preserve">.)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different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type</w:t>
      </w:r>
      <w:proofErr w:type="spellEnd"/>
      <w:r w:rsidRPr="00D9106F">
        <w:rPr>
          <w:szCs w:val="24"/>
        </w:rPr>
        <w:t xml:space="preserve"> (patent,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model, </w:t>
      </w:r>
      <w:proofErr w:type="spellStart"/>
      <w:r w:rsidRPr="00D9106F">
        <w:rPr>
          <w:szCs w:val="24"/>
        </w:rPr>
        <w:t>etc</w:t>
      </w:r>
      <w:proofErr w:type="spellEnd"/>
      <w:r w:rsidRPr="00D9106F">
        <w:rPr>
          <w:szCs w:val="24"/>
        </w:rPr>
        <w:t xml:space="preserve">.) </w:t>
      </w:r>
      <w:proofErr w:type="spellStart"/>
      <w:r w:rsidRPr="00D9106F">
        <w:rPr>
          <w:szCs w:val="24"/>
        </w:rPr>
        <w:t>applications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same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invention</w:t>
      </w:r>
      <w:proofErr w:type="spell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case</w:t>
      </w:r>
      <w:proofErr w:type="spellEnd"/>
      <w:r w:rsidR="00AE2596" w:rsidRPr="00D9106F">
        <w:rPr>
          <w:szCs w:val="24"/>
        </w:rPr>
        <w:t xml:space="preserve">,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incentive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with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highest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amount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will</w:t>
      </w:r>
      <w:proofErr w:type="spellEnd"/>
      <w:r w:rsidR="00AE2596" w:rsidRPr="00D9106F">
        <w:rPr>
          <w:szCs w:val="24"/>
        </w:rPr>
        <w:t xml:space="preserve"> be </w:t>
      </w:r>
      <w:proofErr w:type="spellStart"/>
      <w:r w:rsidR="00AE2596" w:rsidRPr="00D9106F">
        <w:rPr>
          <w:szCs w:val="24"/>
        </w:rPr>
        <w:t>taken</w:t>
      </w:r>
      <w:proofErr w:type="spellEnd"/>
      <w:r w:rsidR="00AE2596" w:rsidRPr="00D9106F">
        <w:rPr>
          <w:szCs w:val="24"/>
        </w:rPr>
        <w:t xml:space="preserve"> as </w:t>
      </w:r>
      <w:r w:rsidRPr="00D9106F">
        <w:rPr>
          <w:szCs w:val="24"/>
        </w:rPr>
        <w:t xml:space="preserve">a </w:t>
      </w:r>
      <w:proofErr w:type="spellStart"/>
      <w:r w:rsidR="00AE2596" w:rsidRPr="00D9106F">
        <w:rPr>
          <w:szCs w:val="24"/>
        </w:rPr>
        <w:t>basis</w:t>
      </w:r>
      <w:proofErr w:type="spellEnd"/>
      <w:r w:rsidR="00AE2596"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Suppose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applications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are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in a </w:t>
      </w:r>
      <w:proofErr w:type="spellStart"/>
      <w:r w:rsidRPr="00D9106F">
        <w:rPr>
          <w:szCs w:val="24"/>
        </w:rPr>
        <w:t>sequence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such</w:t>
      </w:r>
      <w:proofErr w:type="spellEnd"/>
      <w:r w:rsidRPr="00D9106F">
        <w:rPr>
          <w:szCs w:val="24"/>
        </w:rPr>
        <w:t xml:space="preserve"> as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model, patent, </w:t>
      </w:r>
      <w:proofErr w:type="spellStart"/>
      <w:r w:rsidRPr="00D9106F">
        <w:rPr>
          <w:szCs w:val="24"/>
        </w:rPr>
        <w:t>foreign</w:t>
      </w:r>
      <w:proofErr w:type="spellEnd"/>
      <w:r w:rsidRPr="00D9106F">
        <w:rPr>
          <w:szCs w:val="24"/>
        </w:rPr>
        <w:t xml:space="preserve"> patent. </w:t>
      </w:r>
      <w:proofErr w:type="spellStart"/>
      <w:r w:rsidRPr="00D9106F">
        <w:rPr>
          <w:szCs w:val="24"/>
        </w:rPr>
        <w:t>In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that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case</w:t>
      </w:r>
      <w:proofErr w:type="spellEnd"/>
      <w:r w:rsidR="00AE2596" w:rsidRPr="00D9106F">
        <w:rPr>
          <w:szCs w:val="24"/>
        </w:rPr>
        <w:t xml:space="preserve">, </w:t>
      </w:r>
      <w:proofErr w:type="spellStart"/>
      <w:r w:rsidR="00AE2596" w:rsidRPr="00D9106F">
        <w:rPr>
          <w:szCs w:val="24"/>
        </w:rPr>
        <w:t>if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utility</w:t>
      </w:r>
      <w:proofErr w:type="spellEnd"/>
      <w:r w:rsidR="00AE2596" w:rsidRPr="00D9106F">
        <w:rPr>
          <w:szCs w:val="24"/>
        </w:rPr>
        <w:t xml:space="preserve"> model </w:t>
      </w:r>
      <w:proofErr w:type="spellStart"/>
      <w:r w:rsidR="00AE2596" w:rsidRPr="00D9106F">
        <w:rPr>
          <w:szCs w:val="24"/>
        </w:rPr>
        <w:t>incentive</w:t>
      </w:r>
      <w:proofErr w:type="spellEnd"/>
      <w:r w:rsidR="00AE2596" w:rsidRPr="00D9106F">
        <w:rPr>
          <w:szCs w:val="24"/>
        </w:rPr>
        <w:t xml:space="preserve"> is </w:t>
      </w:r>
      <w:proofErr w:type="spellStart"/>
      <w:r w:rsidR="00AE2596" w:rsidRPr="00D9106F">
        <w:rPr>
          <w:szCs w:val="24"/>
        </w:rPr>
        <w:t>given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first</w:t>
      </w:r>
      <w:proofErr w:type="spellEnd"/>
      <w:r w:rsidR="00AE2596" w:rsidRPr="00D9106F">
        <w:rPr>
          <w:szCs w:val="24"/>
        </w:rPr>
        <w:t xml:space="preserve">,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payment</w:t>
      </w:r>
      <w:proofErr w:type="spellEnd"/>
      <w:r w:rsidR="00AE2596" w:rsidRPr="00D9106F">
        <w:rPr>
          <w:szCs w:val="24"/>
        </w:rPr>
        <w:t xml:space="preserve"> is </w:t>
      </w:r>
      <w:proofErr w:type="spellStart"/>
      <w:r w:rsidR="00AE2596" w:rsidRPr="00D9106F">
        <w:rPr>
          <w:szCs w:val="24"/>
        </w:rPr>
        <w:t>made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by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deducting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previous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payments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from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the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incentive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amounts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to</w:t>
      </w:r>
      <w:proofErr w:type="spellEnd"/>
      <w:r w:rsidR="00AE2596" w:rsidRPr="00D9106F">
        <w:rPr>
          <w:szCs w:val="24"/>
        </w:rPr>
        <w:t xml:space="preserve"> be </w:t>
      </w:r>
      <w:proofErr w:type="spellStart"/>
      <w:r w:rsidR="00AE2596" w:rsidRPr="00D9106F">
        <w:rPr>
          <w:szCs w:val="24"/>
        </w:rPr>
        <w:t>accrued</w:t>
      </w:r>
      <w:proofErr w:type="spellEnd"/>
      <w:r w:rsidR="00AE2596" w:rsidRPr="00D9106F">
        <w:rPr>
          <w:szCs w:val="24"/>
        </w:rPr>
        <w:t xml:space="preserve"> </w:t>
      </w:r>
      <w:proofErr w:type="spellStart"/>
      <w:r w:rsidR="00AE2596" w:rsidRPr="00D9106F">
        <w:rPr>
          <w:szCs w:val="24"/>
        </w:rPr>
        <w:t>later</w:t>
      </w:r>
      <w:proofErr w:type="spellEnd"/>
      <w:r w:rsidR="00AE2596" w:rsidRPr="00D9106F">
        <w:rPr>
          <w:szCs w:val="24"/>
        </w:rPr>
        <w:t>.</w:t>
      </w:r>
    </w:p>
    <w:p w14:paraId="62CCD171" w14:textId="77777777" w:rsidR="006D7877" w:rsidRPr="00D9106F" w:rsidRDefault="006D7877">
      <w:pPr>
        <w:spacing w:line="360" w:lineRule="auto"/>
        <w:jc w:val="both"/>
        <w:rPr>
          <w:sz w:val="24"/>
          <w:szCs w:val="24"/>
        </w:rPr>
        <w:sectPr w:rsidR="006D7877" w:rsidRPr="00D9106F">
          <w:pgSz w:w="11910" w:h="16840"/>
          <w:pgMar w:top="1320" w:right="1300" w:bottom="280" w:left="1300" w:header="708" w:footer="708" w:gutter="0"/>
          <w:cols w:space="708"/>
        </w:sectPr>
      </w:pPr>
    </w:p>
    <w:p w14:paraId="62CCD172" w14:textId="40C55DF8" w:rsidR="006D7877" w:rsidRPr="00D9106F" w:rsidRDefault="0035143D">
      <w:pPr>
        <w:pStyle w:val="ListeParagraf"/>
        <w:numPr>
          <w:ilvl w:val="1"/>
          <w:numId w:val="2"/>
        </w:numPr>
        <w:tabs>
          <w:tab w:val="left" w:pos="1187"/>
        </w:tabs>
        <w:spacing w:before="60" w:line="360" w:lineRule="auto"/>
        <w:ind w:right="107" w:firstLine="492"/>
        <w:jc w:val="both"/>
        <w:rPr>
          <w:sz w:val="24"/>
          <w:szCs w:val="24"/>
        </w:rPr>
      </w:pPr>
      <w:r w:rsidRPr="00D9106F">
        <w:rPr>
          <w:sz w:val="24"/>
          <w:szCs w:val="24"/>
        </w:rPr>
        <w:lastRenderedPageBreak/>
        <w:t xml:space="preserve">(c) </w:t>
      </w:r>
      <w:proofErr w:type="spellStart"/>
      <w:r w:rsidR="00352395" w:rsidRPr="00D9106F">
        <w:rPr>
          <w:sz w:val="24"/>
          <w:szCs w:val="24"/>
        </w:rPr>
        <w:t>F</w:t>
      </w:r>
      <w:r w:rsidRPr="00D9106F">
        <w:rPr>
          <w:sz w:val="24"/>
          <w:szCs w:val="24"/>
        </w:rPr>
        <w:t>or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incentive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payment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to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accrue</w:t>
      </w:r>
      <w:proofErr w:type="spellEnd"/>
      <w:r w:rsidRPr="00D9106F">
        <w:rPr>
          <w:sz w:val="24"/>
          <w:szCs w:val="24"/>
        </w:rPr>
        <w:t xml:space="preserve">,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person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to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whom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incentive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payment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will</w:t>
      </w:r>
      <w:proofErr w:type="spellEnd"/>
      <w:r w:rsidRPr="00D9106F">
        <w:rPr>
          <w:sz w:val="24"/>
          <w:szCs w:val="24"/>
        </w:rPr>
        <w:t xml:space="preserve"> be </w:t>
      </w:r>
      <w:proofErr w:type="spellStart"/>
      <w:r w:rsidRPr="00D9106F">
        <w:rPr>
          <w:sz w:val="24"/>
          <w:szCs w:val="24"/>
        </w:rPr>
        <w:t>made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must</w:t>
      </w:r>
      <w:proofErr w:type="spellEnd"/>
      <w:r w:rsidRPr="00D9106F">
        <w:rPr>
          <w:sz w:val="24"/>
          <w:szCs w:val="24"/>
        </w:rPr>
        <w:t xml:space="preserve"> be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="00352395" w:rsidRPr="00D9106F">
        <w:rPr>
          <w:sz w:val="24"/>
          <w:szCs w:val="24"/>
        </w:rPr>
        <w:t>university’s</w:t>
      </w:r>
      <w:proofErr w:type="spellEnd"/>
      <w:r w:rsidR="00352395" w:rsidRPr="00D9106F">
        <w:rPr>
          <w:sz w:val="24"/>
          <w:szCs w:val="24"/>
        </w:rPr>
        <w:t xml:space="preserve"> </w:t>
      </w:r>
      <w:proofErr w:type="spellStart"/>
      <w:r w:rsidR="00352395" w:rsidRPr="00D9106F">
        <w:rPr>
          <w:sz w:val="24"/>
          <w:szCs w:val="24"/>
        </w:rPr>
        <w:t>academic</w:t>
      </w:r>
      <w:proofErr w:type="spellEnd"/>
      <w:r w:rsidR="00352395" w:rsidRPr="00D9106F">
        <w:rPr>
          <w:sz w:val="24"/>
          <w:szCs w:val="24"/>
        </w:rPr>
        <w:t xml:space="preserve"> </w:t>
      </w:r>
      <w:proofErr w:type="spellStart"/>
      <w:r w:rsidR="00352395" w:rsidRPr="00D9106F">
        <w:rPr>
          <w:sz w:val="24"/>
          <w:szCs w:val="24"/>
        </w:rPr>
        <w:t>staff</w:t>
      </w:r>
      <w:proofErr w:type="spellEnd"/>
      <w:r w:rsidRPr="00D9106F">
        <w:rPr>
          <w:sz w:val="24"/>
          <w:szCs w:val="24"/>
        </w:rPr>
        <w:t xml:space="preserve"> at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date</w:t>
      </w:r>
      <w:proofErr w:type="spellEnd"/>
      <w:r w:rsidRPr="00D9106F">
        <w:rPr>
          <w:sz w:val="24"/>
          <w:szCs w:val="24"/>
        </w:rPr>
        <w:t xml:space="preserve"> of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transaction</w:t>
      </w:r>
      <w:proofErr w:type="spellEnd"/>
      <w:r w:rsidRPr="00D9106F">
        <w:rPr>
          <w:sz w:val="24"/>
          <w:szCs w:val="24"/>
        </w:rPr>
        <w:t xml:space="preserve"> (</w:t>
      </w:r>
      <w:proofErr w:type="spellStart"/>
      <w:r w:rsidRPr="00D9106F">
        <w:rPr>
          <w:sz w:val="24"/>
          <w:szCs w:val="24"/>
        </w:rPr>
        <w:t>application</w:t>
      </w:r>
      <w:proofErr w:type="spellEnd"/>
      <w:r w:rsidRPr="00D9106F">
        <w:rPr>
          <w:sz w:val="24"/>
          <w:szCs w:val="24"/>
        </w:rPr>
        <w:t xml:space="preserve">, </w:t>
      </w:r>
      <w:proofErr w:type="spellStart"/>
      <w:r w:rsidRPr="00D9106F">
        <w:rPr>
          <w:sz w:val="24"/>
          <w:szCs w:val="24"/>
        </w:rPr>
        <w:t>registration</w:t>
      </w:r>
      <w:proofErr w:type="spellEnd"/>
      <w:r w:rsidRPr="00D9106F">
        <w:rPr>
          <w:sz w:val="24"/>
          <w:szCs w:val="24"/>
        </w:rPr>
        <w:t xml:space="preserve">, </w:t>
      </w:r>
      <w:proofErr w:type="spellStart"/>
      <w:r w:rsidRPr="00D9106F">
        <w:rPr>
          <w:sz w:val="24"/>
          <w:szCs w:val="24"/>
        </w:rPr>
        <w:t>etc</w:t>
      </w:r>
      <w:proofErr w:type="spellEnd"/>
      <w:r w:rsidRPr="00D9106F">
        <w:rPr>
          <w:sz w:val="24"/>
          <w:szCs w:val="24"/>
        </w:rPr>
        <w:t xml:space="preserve">.) </w:t>
      </w:r>
      <w:proofErr w:type="spellStart"/>
      <w:r w:rsidRPr="00D9106F">
        <w:rPr>
          <w:sz w:val="24"/>
          <w:szCs w:val="24"/>
        </w:rPr>
        <w:t>that</w:t>
      </w:r>
      <w:proofErr w:type="spellEnd"/>
      <w:r w:rsidRPr="00D9106F">
        <w:rPr>
          <w:sz w:val="24"/>
          <w:szCs w:val="24"/>
        </w:rPr>
        <w:t xml:space="preserve"> is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basis</w:t>
      </w:r>
      <w:proofErr w:type="spellEnd"/>
      <w:r w:rsidRPr="00D9106F">
        <w:rPr>
          <w:sz w:val="24"/>
          <w:szCs w:val="24"/>
        </w:rPr>
        <w:t xml:space="preserve"> of </w:t>
      </w:r>
      <w:proofErr w:type="spellStart"/>
      <w:r w:rsidRPr="00D9106F">
        <w:rPr>
          <w:sz w:val="24"/>
          <w:szCs w:val="24"/>
        </w:rPr>
        <w:t>the</w:t>
      </w:r>
      <w:proofErr w:type="spellEnd"/>
      <w:r w:rsidRPr="00D9106F">
        <w:rPr>
          <w:sz w:val="24"/>
          <w:szCs w:val="24"/>
        </w:rPr>
        <w:t xml:space="preserve"> </w:t>
      </w:r>
      <w:proofErr w:type="spellStart"/>
      <w:r w:rsidRPr="00D9106F">
        <w:rPr>
          <w:sz w:val="24"/>
          <w:szCs w:val="24"/>
        </w:rPr>
        <w:t>incentive</w:t>
      </w:r>
      <w:proofErr w:type="spellEnd"/>
      <w:r w:rsidRPr="00D9106F">
        <w:rPr>
          <w:sz w:val="24"/>
          <w:szCs w:val="24"/>
        </w:rPr>
        <w:t xml:space="preserve">. </w:t>
      </w:r>
      <w:proofErr w:type="spellStart"/>
      <w:r w:rsidR="00AE2596" w:rsidRPr="00D9106F">
        <w:rPr>
          <w:sz w:val="24"/>
          <w:szCs w:val="24"/>
        </w:rPr>
        <w:t>Scholars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who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meet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this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requirement</w:t>
      </w:r>
      <w:proofErr w:type="spellEnd"/>
      <w:r w:rsidR="00AE2596" w:rsidRPr="00D9106F">
        <w:rPr>
          <w:sz w:val="24"/>
          <w:szCs w:val="24"/>
        </w:rPr>
        <w:t xml:space="preserve"> but </w:t>
      </w:r>
      <w:proofErr w:type="spellStart"/>
      <w:r w:rsidR="00AE2596" w:rsidRPr="00D9106F">
        <w:rPr>
          <w:sz w:val="24"/>
          <w:szCs w:val="24"/>
        </w:rPr>
        <w:t>leave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the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university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after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the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accrual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will</w:t>
      </w:r>
      <w:proofErr w:type="spellEnd"/>
      <w:r w:rsidR="00AE2596" w:rsidRPr="00D9106F">
        <w:rPr>
          <w:sz w:val="24"/>
          <w:szCs w:val="24"/>
        </w:rPr>
        <w:t xml:space="preserve"> be </w:t>
      </w:r>
      <w:proofErr w:type="spellStart"/>
      <w:r w:rsidR="00AE2596" w:rsidRPr="00D9106F">
        <w:rPr>
          <w:sz w:val="24"/>
          <w:szCs w:val="24"/>
        </w:rPr>
        <w:t>paid</w:t>
      </w:r>
      <w:proofErr w:type="spellEnd"/>
      <w:r w:rsidR="00AE2596" w:rsidRPr="00D9106F">
        <w:rPr>
          <w:sz w:val="24"/>
          <w:szCs w:val="24"/>
        </w:rPr>
        <w:t xml:space="preserve">. </w:t>
      </w:r>
      <w:proofErr w:type="spellStart"/>
      <w:r w:rsidR="00AE2596" w:rsidRPr="00D9106F">
        <w:rPr>
          <w:sz w:val="24"/>
          <w:szCs w:val="24"/>
        </w:rPr>
        <w:t>However</w:t>
      </w:r>
      <w:proofErr w:type="spellEnd"/>
      <w:r w:rsidR="00AE2596" w:rsidRPr="00D9106F">
        <w:rPr>
          <w:sz w:val="24"/>
          <w:szCs w:val="24"/>
        </w:rPr>
        <w:t xml:space="preserve">, </w:t>
      </w:r>
      <w:proofErr w:type="spellStart"/>
      <w:r w:rsidR="00AE2596" w:rsidRPr="00D9106F">
        <w:rPr>
          <w:sz w:val="24"/>
          <w:szCs w:val="24"/>
        </w:rPr>
        <w:t>no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incentives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will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accrue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for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applications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or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registration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processes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made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after</w:t>
      </w:r>
      <w:proofErr w:type="spellEnd"/>
      <w:r w:rsidR="00AE2596" w:rsidRPr="00D9106F">
        <w:rPr>
          <w:sz w:val="24"/>
          <w:szCs w:val="24"/>
        </w:rPr>
        <w:t xml:space="preserve"> </w:t>
      </w:r>
      <w:proofErr w:type="spellStart"/>
      <w:r w:rsidR="00AE2596" w:rsidRPr="00D9106F">
        <w:rPr>
          <w:sz w:val="24"/>
          <w:szCs w:val="24"/>
        </w:rPr>
        <w:t>departure</w:t>
      </w:r>
      <w:proofErr w:type="spellEnd"/>
      <w:r w:rsidR="00AE2596" w:rsidRPr="00D9106F">
        <w:rPr>
          <w:sz w:val="24"/>
          <w:szCs w:val="24"/>
        </w:rPr>
        <w:t>.</w:t>
      </w:r>
    </w:p>
    <w:p w14:paraId="62CCD173" w14:textId="77777777" w:rsidR="006D7877" w:rsidRPr="00D9106F" w:rsidRDefault="006D7877">
      <w:pPr>
        <w:pStyle w:val="GvdeMetni"/>
        <w:ind w:left="0"/>
        <w:jc w:val="left"/>
        <w:rPr>
          <w:szCs w:val="24"/>
        </w:rPr>
      </w:pPr>
    </w:p>
    <w:p w14:paraId="62CCD174" w14:textId="12954ED3" w:rsidR="006D7877" w:rsidRPr="00D9106F" w:rsidRDefault="00AE2596">
      <w:pPr>
        <w:pStyle w:val="GvdeMetni"/>
        <w:spacing w:before="148" w:line="360" w:lineRule="auto"/>
        <w:ind w:left="331" w:right="171" w:firstLine="490"/>
        <w:jc w:val="left"/>
        <w:rPr>
          <w:szCs w:val="24"/>
        </w:rPr>
      </w:pPr>
      <w:r w:rsidRPr="00D9106F">
        <w:rPr>
          <w:szCs w:val="24"/>
        </w:rPr>
        <w:t>(</w:t>
      </w:r>
      <w:proofErr w:type="gramStart"/>
      <w:r w:rsidRPr="00D9106F">
        <w:rPr>
          <w:szCs w:val="24"/>
        </w:rPr>
        <w:t>ç</w:t>
      </w:r>
      <w:proofErr w:type="gramEnd"/>
      <w:r w:rsidRPr="00D9106F">
        <w:rPr>
          <w:szCs w:val="24"/>
        </w:rPr>
        <w:t xml:space="preserve">) </w:t>
      </w:r>
      <w:proofErr w:type="spellStart"/>
      <w:r w:rsidR="00352395" w:rsidRPr="00D9106F">
        <w:rPr>
          <w:szCs w:val="24"/>
        </w:rPr>
        <w:t>The</w:t>
      </w:r>
      <w:proofErr w:type="spellEnd"/>
      <w:r w:rsidR="00352395" w:rsidRPr="00D9106F">
        <w:rPr>
          <w:szCs w:val="24"/>
        </w:rPr>
        <w:t xml:space="preserve"> </w:t>
      </w:r>
      <w:proofErr w:type="spellStart"/>
      <w:r w:rsidR="00352395" w:rsidRPr="00D9106F">
        <w:rPr>
          <w:szCs w:val="24"/>
        </w:rPr>
        <w:t>i</w:t>
      </w:r>
      <w:r w:rsidRPr="00D9106F">
        <w:rPr>
          <w:szCs w:val="24"/>
        </w:rPr>
        <w:t>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</w:t>
      </w:r>
      <w:proofErr w:type="spellEnd"/>
      <w:r w:rsidRPr="00D9106F">
        <w:rPr>
          <w:szCs w:val="24"/>
        </w:rPr>
        <w:t xml:space="preserve"> “</w:t>
      </w:r>
      <w:proofErr w:type="spellStart"/>
      <w:r w:rsidRPr="00D9106F">
        <w:rPr>
          <w:szCs w:val="24"/>
        </w:rPr>
        <w:t>Joint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Patents</w:t>
      </w:r>
      <w:proofErr w:type="spellEnd"/>
      <w:r w:rsidRPr="00D9106F">
        <w:rPr>
          <w:szCs w:val="24"/>
        </w:rPr>
        <w:t xml:space="preserve">”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other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universities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institutions</w:t>
      </w:r>
      <w:proofErr w:type="spellEnd"/>
      <w:r w:rsidRPr="00D9106F">
        <w:rPr>
          <w:szCs w:val="24"/>
        </w:rPr>
        <w:t>/</w:t>
      </w:r>
      <w:proofErr w:type="spellStart"/>
      <w:r w:rsidRPr="00D9106F">
        <w:rPr>
          <w:szCs w:val="24"/>
        </w:rPr>
        <w:t>organizations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accepted</w:t>
      </w:r>
      <w:proofErr w:type="spellEnd"/>
      <w:r w:rsidRPr="00D9106F">
        <w:rPr>
          <w:szCs w:val="24"/>
        </w:rPr>
        <w:t xml:space="preserve"> as 100%, not at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rate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="00352395" w:rsidRPr="00D9106F">
        <w:rPr>
          <w:szCs w:val="24"/>
        </w:rPr>
        <w:t>u</w:t>
      </w:r>
      <w:r w:rsidRPr="00D9106F">
        <w:rPr>
          <w:szCs w:val="24"/>
        </w:rPr>
        <w:t>niversity</w:t>
      </w:r>
      <w:r w:rsidR="00352395" w:rsidRPr="00D9106F">
        <w:rPr>
          <w:szCs w:val="24"/>
        </w:rPr>
        <w:t>’</w:t>
      </w:r>
      <w:r w:rsidRPr="00D9106F">
        <w:rPr>
          <w:szCs w:val="24"/>
        </w:rPr>
        <w:t>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share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patent,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calculation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accordingly</w:t>
      </w:r>
      <w:proofErr w:type="spellEnd"/>
      <w:r w:rsidRPr="00D9106F">
        <w:rPr>
          <w:szCs w:val="24"/>
        </w:rPr>
        <w:t>.</w:t>
      </w:r>
    </w:p>
    <w:p w14:paraId="62CCD175" w14:textId="77777777" w:rsidR="006D7877" w:rsidRPr="00D9106F" w:rsidRDefault="006D7877">
      <w:pPr>
        <w:pStyle w:val="GvdeMetni"/>
        <w:spacing w:before="4"/>
        <w:ind w:left="0"/>
        <w:jc w:val="left"/>
        <w:rPr>
          <w:szCs w:val="24"/>
        </w:rPr>
      </w:pPr>
    </w:p>
    <w:p w14:paraId="62CCD176" w14:textId="77777777" w:rsidR="006D7877" w:rsidRPr="00D9106F" w:rsidRDefault="00AE2596">
      <w:pPr>
        <w:pStyle w:val="P68B1DB1-ListParagraph3"/>
        <w:numPr>
          <w:ilvl w:val="1"/>
          <w:numId w:val="2"/>
        </w:numPr>
        <w:tabs>
          <w:tab w:val="left" w:pos="1164"/>
        </w:tabs>
        <w:spacing w:before="0" w:line="360" w:lineRule="auto"/>
        <w:ind w:right="474" w:firstLine="492"/>
        <w:rPr>
          <w:szCs w:val="24"/>
        </w:rPr>
      </w:pPr>
      <w:r w:rsidRPr="00D9106F">
        <w:rPr>
          <w:szCs w:val="24"/>
        </w:rPr>
        <w:t xml:space="preserve">Patent, </w:t>
      </w:r>
      <w:proofErr w:type="spellStart"/>
      <w:r w:rsidRPr="00D9106F">
        <w:rPr>
          <w:szCs w:val="24"/>
        </w:rPr>
        <w:t>utility</w:t>
      </w:r>
      <w:proofErr w:type="spellEnd"/>
      <w:r w:rsidRPr="00D9106F">
        <w:rPr>
          <w:szCs w:val="24"/>
        </w:rPr>
        <w:t xml:space="preserve"> model, </w:t>
      </w:r>
      <w:proofErr w:type="spellStart"/>
      <w:r w:rsidRPr="00D9106F">
        <w:rPr>
          <w:szCs w:val="24"/>
        </w:rPr>
        <w:t>design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incentive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payments</w:t>
      </w:r>
      <w:proofErr w:type="spellEnd"/>
      <w:r w:rsidRPr="00D9106F">
        <w:rPr>
          <w:szCs w:val="24"/>
        </w:rPr>
        <w:t xml:space="preserve">; 4. </w:t>
      </w:r>
      <w:proofErr w:type="spellStart"/>
      <w:r w:rsidRPr="00D9106F">
        <w:rPr>
          <w:szCs w:val="24"/>
        </w:rPr>
        <w:t>Article</w:t>
      </w:r>
      <w:proofErr w:type="spellEnd"/>
      <w:r w:rsidRPr="00D9106F">
        <w:rPr>
          <w:szCs w:val="24"/>
        </w:rPr>
        <w:t xml:space="preserve"> 1. </w:t>
      </w:r>
      <w:proofErr w:type="spellStart"/>
      <w:r w:rsidRPr="00D9106F">
        <w:rPr>
          <w:szCs w:val="24"/>
        </w:rPr>
        <w:t>It</w:t>
      </w:r>
      <w:proofErr w:type="spellEnd"/>
      <w:r w:rsidRPr="00D9106F">
        <w:rPr>
          <w:szCs w:val="24"/>
        </w:rPr>
        <w:t xml:space="preserve"> is </w:t>
      </w:r>
      <w:proofErr w:type="spellStart"/>
      <w:r w:rsidRPr="00D9106F">
        <w:rPr>
          <w:szCs w:val="24"/>
        </w:rPr>
        <w:t>accrued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paid</w:t>
      </w:r>
      <w:proofErr w:type="spellEnd"/>
      <w:r w:rsidRPr="00D9106F">
        <w:rPr>
          <w:szCs w:val="24"/>
        </w:rPr>
        <w:t xml:space="preserve"> at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end</w:t>
      </w:r>
      <w:proofErr w:type="spellEnd"/>
      <w:r w:rsidRPr="00D9106F">
        <w:rPr>
          <w:szCs w:val="24"/>
        </w:rPr>
        <w:t xml:space="preserve"> of an </w:t>
      </w:r>
      <w:proofErr w:type="spellStart"/>
      <w:r w:rsidRPr="00D9106F">
        <w:rPr>
          <w:szCs w:val="24"/>
        </w:rPr>
        <w:t>average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three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months</w:t>
      </w:r>
      <w:proofErr w:type="spellEnd"/>
      <w:r w:rsidRPr="00D9106F">
        <w:rPr>
          <w:szCs w:val="24"/>
        </w:rPr>
        <w:t xml:space="preserve">, in </w:t>
      </w:r>
      <w:proofErr w:type="spellStart"/>
      <w:r w:rsidRPr="00D9106F">
        <w:rPr>
          <w:szCs w:val="24"/>
        </w:rPr>
        <w:t>line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report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submitted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Rectorate</w:t>
      </w:r>
      <w:proofErr w:type="spellEnd"/>
      <w:r w:rsidRPr="00D9106F">
        <w:rPr>
          <w:szCs w:val="24"/>
        </w:rPr>
        <w:t xml:space="preserve">, as </w:t>
      </w:r>
      <w:proofErr w:type="spellStart"/>
      <w:r w:rsidRPr="00D9106F">
        <w:rPr>
          <w:szCs w:val="24"/>
        </w:rPr>
        <w:t>specified</w:t>
      </w:r>
      <w:proofErr w:type="spellEnd"/>
      <w:r w:rsidRPr="00D9106F">
        <w:rPr>
          <w:szCs w:val="24"/>
        </w:rPr>
        <w:t xml:space="preserve"> in </w:t>
      </w:r>
      <w:proofErr w:type="spellStart"/>
      <w:r w:rsidRPr="00D9106F">
        <w:rPr>
          <w:szCs w:val="24"/>
        </w:rPr>
        <w:t>paragraph</w:t>
      </w:r>
      <w:proofErr w:type="spellEnd"/>
      <w:r w:rsidRPr="00D9106F">
        <w:rPr>
          <w:szCs w:val="24"/>
        </w:rPr>
        <w:t xml:space="preserve"> c.</w:t>
      </w:r>
    </w:p>
    <w:p w14:paraId="62CCD177" w14:textId="77777777" w:rsidR="006D7877" w:rsidRPr="00D9106F" w:rsidRDefault="006D7877">
      <w:pPr>
        <w:pStyle w:val="GvdeMetni"/>
        <w:spacing w:before="8"/>
        <w:ind w:left="0"/>
        <w:jc w:val="left"/>
        <w:rPr>
          <w:szCs w:val="24"/>
        </w:rPr>
      </w:pPr>
    </w:p>
    <w:p w14:paraId="62CCD178" w14:textId="77777777" w:rsidR="006D7877" w:rsidRPr="00D9106F" w:rsidRDefault="00AE2596" w:rsidP="00D9106F">
      <w:pPr>
        <w:pStyle w:val="Balk1"/>
        <w:jc w:val="center"/>
        <w:rPr>
          <w:szCs w:val="24"/>
        </w:rPr>
      </w:pPr>
      <w:proofErr w:type="spellStart"/>
      <w:r w:rsidRPr="00D9106F">
        <w:rPr>
          <w:szCs w:val="24"/>
        </w:rPr>
        <w:t>Enforcement</w:t>
      </w:r>
      <w:proofErr w:type="spellEnd"/>
    </w:p>
    <w:p w14:paraId="62CCD179" w14:textId="77777777" w:rsidR="006D7877" w:rsidRPr="00D9106F" w:rsidRDefault="006D7877">
      <w:pPr>
        <w:pStyle w:val="GvdeMetni"/>
        <w:spacing w:before="8"/>
        <w:ind w:left="0"/>
        <w:jc w:val="left"/>
        <w:rPr>
          <w:b/>
          <w:szCs w:val="24"/>
        </w:rPr>
      </w:pPr>
    </w:p>
    <w:p w14:paraId="62CCD17A" w14:textId="5394FA5B" w:rsidR="006D7877" w:rsidRPr="00D9106F" w:rsidRDefault="00AE2596">
      <w:pPr>
        <w:pStyle w:val="GvdeMetni"/>
        <w:spacing w:line="360" w:lineRule="auto"/>
        <w:ind w:right="105" w:firstLine="706"/>
        <w:rPr>
          <w:szCs w:val="24"/>
        </w:rPr>
      </w:pPr>
      <w:r w:rsidRPr="00D9106F">
        <w:rPr>
          <w:b/>
          <w:szCs w:val="24"/>
        </w:rPr>
        <w:t>A</w:t>
      </w:r>
      <w:r w:rsidR="005121BC" w:rsidRPr="00D9106F">
        <w:rPr>
          <w:b/>
          <w:szCs w:val="24"/>
        </w:rPr>
        <w:t>RTICLE 5</w:t>
      </w:r>
      <w:r w:rsidRPr="00D9106F">
        <w:rPr>
          <w:b/>
          <w:szCs w:val="24"/>
        </w:rPr>
        <w:t xml:space="preserve">– (1)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instruction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enters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into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force</w:t>
      </w:r>
      <w:proofErr w:type="spellEnd"/>
      <w:r w:rsidRPr="00D9106F">
        <w:rPr>
          <w:szCs w:val="24"/>
        </w:rPr>
        <w:t xml:space="preserve"> as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date</w:t>
      </w:r>
      <w:proofErr w:type="spellEnd"/>
      <w:r w:rsidRPr="00D9106F">
        <w:rPr>
          <w:szCs w:val="24"/>
        </w:rPr>
        <w:t xml:space="preserve"> it is </w:t>
      </w:r>
      <w:proofErr w:type="spellStart"/>
      <w:r w:rsidRPr="00D9106F">
        <w:rPr>
          <w:szCs w:val="24"/>
        </w:rPr>
        <w:t>accepted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Istanbul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Medipol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proofErr w:type="gramStart"/>
      <w:r w:rsidRPr="00D9106F">
        <w:rPr>
          <w:szCs w:val="24"/>
        </w:rPr>
        <w:t>Senate</w:t>
      </w:r>
      <w:proofErr w:type="spellEnd"/>
      <w:proofErr w:type="gramEnd"/>
      <w:r w:rsidRPr="00D9106F">
        <w:rPr>
          <w:szCs w:val="24"/>
        </w:rPr>
        <w:t xml:space="preserve">. </w:t>
      </w:r>
      <w:proofErr w:type="spellStart"/>
      <w:r w:rsidRPr="00D9106F">
        <w:rPr>
          <w:szCs w:val="24"/>
        </w:rPr>
        <w:t>This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instruction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covers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publications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to</w:t>
      </w:r>
      <w:proofErr w:type="spellEnd"/>
      <w:r w:rsidRPr="00D9106F">
        <w:rPr>
          <w:szCs w:val="24"/>
        </w:rPr>
        <w:t xml:space="preserve"> be </w:t>
      </w:r>
      <w:proofErr w:type="spellStart"/>
      <w:r w:rsidRPr="00D9106F">
        <w:rPr>
          <w:szCs w:val="24"/>
        </w:rPr>
        <w:t>made</w:t>
      </w:r>
      <w:proofErr w:type="spellEnd"/>
      <w:r w:rsidRPr="00D9106F">
        <w:rPr>
          <w:szCs w:val="24"/>
        </w:rPr>
        <w:t xml:space="preserve"> as of </w:t>
      </w:r>
      <w:proofErr w:type="spellStart"/>
      <w:r w:rsidRPr="00D9106F">
        <w:rPr>
          <w:szCs w:val="24"/>
        </w:rPr>
        <w:t>January</w:t>
      </w:r>
      <w:proofErr w:type="spellEnd"/>
      <w:r w:rsidRPr="00D9106F">
        <w:rPr>
          <w:szCs w:val="24"/>
        </w:rPr>
        <w:t xml:space="preserve"> 01, 2018.</w:t>
      </w:r>
    </w:p>
    <w:p w14:paraId="62CCD17B" w14:textId="77777777" w:rsidR="006D7877" w:rsidRPr="00D9106F" w:rsidRDefault="006D7877">
      <w:pPr>
        <w:pStyle w:val="GvdeMetni"/>
        <w:spacing w:before="5"/>
        <w:ind w:left="0"/>
        <w:jc w:val="left"/>
        <w:rPr>
          <w:szCs w:val="24"/>
        </w:rPr>
      </w:pPr>
    </w:p>
    <w:p w14:paraId="62CCD17C" w14:textId="77777777" w:rsidR="006D7877" w:rsidRPr="00D9106F" w:rsidRDefault="00AE2596" w:rsidP="00D9106F">
      <w:pPr>
        <w:pStyle w:val="Balk1"/>
        <w:jc w:val="center"/>
        <w:rPr>
          <w:szCs w:val="24"/>
        </w:rPr>
      </w:pPr>
      <w:proofErr w:type="spellStart"/>
      <w:r w:rsidRPr="00D9106F">
        <w:rPr>
          <w:szCs w:val="24"/>
        </w:rPr>
        <w:t>Execution</w:t>
      </w:r>
      <w:proofErr w:type="spellEnd"/>
    </w:p>
    <w:p w14:paraId="62CCD17E" w14:textId="432904C2" w:rsidR="006D7877" w:rsidRPr="00D9106F" w:rsidRDefault="005121BC" w:rsidP="00F541D7">
      <w:pPr>
        <w:pStyle w:val="GvdeMetni"/>
        <w:spacing w:before="138" w:line="360" w:lineRule="auto"/>
        <w:ind w:right="109" w:firstLine="706"/>
        <w:rPr>
          <w:szCs w:val="24"/>
        </w:rPr>
      </w:pPr>
      <w:r w:rsidRPr="00D9106F">
        <w:rPr>
          <w:b/>
          <w:bCs/>
          <w:szCs w:val="24"/>
        </w:rPr>
        <w:t xml:space="preserve">ARTICLE </w:t>
      </w:r>
      <w:r w:rsidR="00EA494D" w:rsidRPr="00D9106F">
        <w:rPr>
          <w:b/>
          <w:bCs/>
          <w:szCs w:val="24"/>
        </w:rPr>
        <w:t>6</w:t>
      </w:r>
      <w:r w:rsidR="00EA494D" w:rsidRPr="00D9106F">
        <w:rPr>
          <w:b/>
          <w:szCs w:val="24"/>
        </w:rPr>
        <w:t>-</w:t>
      </w:r>
      <w:r w:rsidR="00AE2596" w:rsidRPr="00D9106F">
        <w:rPr>
          <w:b/>
          <w:szCs w:val="24"/>
        </w:rPr>
        <w:t xml:space="preserve"> (1) </w:t>
      </w:r>
      <w:proofErr w:type="spellStart"/>
      <w:r w:rsidR="00F541D7" w:rsidRPr="00D9106F">
        <w:rPr>
          <w:szCs w:val="24"/>
        </w:rPr>
        <w:t>The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provisions</w:t>
      </w:r>
      <w:proofErr w:type="spellEnd"/>
      <w:r w:rsidR="00F541D7" w:rsidRPr="00D9106F">
        <w:rPr>
          <w:szCs w:val="24"/>
        </w:rPr>
        <w:t xml:space="preserve"> of </w:t>
      </w:r>
      <w:proofErr w:type="spellStart"/>
      <w:r w:rsidR="00F541D7" w:rsidRPr="00D9106F">
        <w:rPr>
          <w:szCs w:val="24"/>
        </w:rPr>
        <w:t>this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instruction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are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executed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by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the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Rector</w:t>
      </w:r>
      <w:proofErr w:type="spellEnd"/>
      <w:r w:rsidR="00F541D7" w:rsidRPr="00D9106F">
        <w:rPr>
          <w:szCs w:val="24"/>
        </w:rPr>
        <w:t xml:space="preserve"> of </w:t>
      </w:r>
      <w:proofErr w:type="spellStart"/>
      <w:r w:rsidR="00F541D7" w:rsidRPr="00D9106F">
        <w:rPr>
          <w:szCs w:val="24"/>
        </w:rPr>
        <w:t>Istanbul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Medipol</w:t>
      </w:r>
      <w:proofErr w:type="spellEnd"/>
      <w:r w:rsidR="00F541D7" w:rsidRPr="00D9106F">
        <w:rPr>
          <w:szCs w:val="24"/>
        </w:rPr>
        <w:t xml:space="preserve"> </w:t>
      </w:r>
      <w:proofErr w:type="spellStart"/>
      <w:r w:rsidR="00F541D7" w:rsidRPr="00D9106F">
        <w:rPr>
          <w:szCs w:val="24"/>
        </w:rPr>
        <w:t>University</w:t>
      </w:r>
      <w:proofErr w:type="spellEnd"/>
      <w:r w:rsidR="00F541D7" w:rsidRPr="00D9106F">
        <w:rPr>
          <w:szCs w:val="24"/>
        </w:rPr>
        <w:t>.</w:t>
      </w:r>
    </w:p>
    <w:p w14:paraId="62CCD17F" w14:textId="5F6A9B49" w:rsidR="006D7877" w:rsidRPr="00D9106F" w:rsidRDefault="00AE2596">
      <w:pPr>
        <w:pStyle w:val="GvdeMetni"/>
        <w:ind w:left="115"/>
        <w:jc w:val="left"/>
        <w:rPr>
          <w:szCs w:val="24"/>
        </w:rPr>
      </w:pPr>
      <w:r w:rsidRPr="00D9106F">
        <w:rPr>
          <w:szCs w:val="24"/>
        </w:rPr>
        <w:t xml:space="preserve">* </w:t>
      </w:r>
      <w:proofErr w:type="spellStart"/>
      <w:r w:rsidRPr="00D9106F">
        <w:rPr>
          <w:szCs w:val="24"/>
        </w:rPr>
        <w:t>Accepted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by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Senate</w:t>
      </w:r>
      <w:r w:rsidR="00352395" w:rsidRPr="00D9106F">
        <w:rPr>
          <w:szCs w:val="24"/>
        </w:rPr>
        <w:t>’</w:t>
      </w:r>
      <w:r w:rsidRPr="00D9106F">
        <w:rPr>
          <w:szCs w:val="24"/>
        </w:rPr>
        <w:t>s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decision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dated</w:t>
      </w:r>
      <w:proofErr w:type="spellEnd"/>
      <w:r w:rsidRPr="00D9106F">
        <w:rPr>
          <w:szCs w:val="24"/>
        </w:rPr>
        <w:t xml:space="preserve"> 06/03/2018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numbered</w:t>
      </w:r>
      <w:proofErr w:type="spellEnd"/>
      <w:r w:rsidRPr="00D9106F">
        <w:rPr>
          <w:szCs w:val="24"/>
        </w:rPr>
        <w:t xml:space="preserve"> 2018-10/01.</w:t>
      </w:r>
    </w:p>
    <w:p w14:paraId="62CCD180" w14:textId="77777777" w:rsidR="006D7877" w:rsidRPr="00D9106F" w:rsidRDefault="00AE2596">
      <w:pPr>
        <w:pStyle w:val="GvdeMetni"/>
        <w:jc w:val="left"/>
        <w:rPr>
          <w:szCs w:val="24"/>
        </w:rPr>
      </w:pPr>
      <w:r w:rsidRPr="00D9106F">
        <w:rPr>
          <w:szCs w:val="24"/>
        </w:rPr>
        <w:t>**</w:t>
      </w:r>
      <w:proofErr w:type="spellStart"/>
      <w:r w:rsidRPr="00D9106F">
        <w:rPr>
          <w:szCs w:val="24"/>
        </w:rPr>
        <w:t>Revised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decision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proofErr w:type="gramStart"/>
      <w:r w:rsidRPr="00D9106F">
        <w:rPr>
          <w:szCs w:val="24"/>
        </w:rPr>
        <w:t>Senate</w:t>
      </w:r>
      <w:proofErr w:type="spellEnd"/>
      <w:proofErr w:type="gram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dated</w:t>
      </w:r>
      <w:proofErr w:type="spellEnd"/>
      <w:r w:rsidRPr="00D9106F">
        <w:rPr>
          <w:szCs w:val="24"/>
        </w:rPr>
        <w:t xml:space="preserve"> 11/09/2018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numbered</w:t>
      </w:r>
      <w:proofErr w:type="spellEnd"/>
      <w:r w:rsidRPr="00D9106F">
        <w:rPr>
          <w:szCs w:val="24"/>
        </w:rPr>
        <w:t xml:space="preserve"> 2018/26-02.</w:t>
      </w:r>
    </w:p>
    <w:p w14:paraId="62CCD181" w14:textId="77777777" w:rsidR="006D7877" w:rsidRPr="00D9106F" w:rsidRDefault="00AE2596">
      <w:pPr>
        <w:pStyle w:val="GvdeMetni"/>
        <w:ind w:left="115"/>
        <w:jc w:val="left"/>
        <w:rPr>
          <w:szCs w:val="24"/>
        </w:rPr>
      </w:pPr>
      <w:r w:rsidRPr="00D9106F">
        <w:rPr>
          <w:szCs w:val="24"/>
        </w:rPr>
        <w:t>***</w:t>
      </w:r>
      <w:proofErr w:type="spellStart"/>
      <w:r w:rsidRPr="00D9106F">
        <w:rPr>
          <w:szCs w:val="24"/>
        </w:rPr>
        <w:t>Revised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with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decision</w:t>
      </w:r>
      <w:proofErr w:type="spellEnd"/>
      <w:r w:rsidRPr="00D9106F">
        <w:rPr>
          <w:szCs w:val="24"/>
        </w:rPr>
        <w:t xml:space="preserve"> of </w:t>
      </w:r>
      <w:proofErr w:type="spellStart"/>
      <w:r w:rsidRPr="00D9106F">
        <w:rPr>
          <w:szCs w:val="24"/>
        </w:rPr>
        <w:t>the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University</w:t>
      </w:r>
      <w:proofErr w:type="spellEnd"/>
      <w:r w:rsidRPr="00D9106F">
        <w:rPr>
          <w:szCs w:val="24"/>
        </w:rPr>
        <w:t xml:space="preserve"> </w:t>
      </w:r>
      <w:proofErr w:type="spellStart"/>
      <w:proofErr w:type="gramStart"/>
      <w:r w:rsidRPr="00D9106F">
        <w:rPr>
          <w:szCs w:val="24"/>
        </w:rPr>
        <w:t>Senate</w:t>
      </w:r>
      <w:proofErr w:type="spellEnd"/>
      <w:proofErr w:type="gram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dated</w:t>
      </w:r>
      <w:proofErr w:type="spellEnd"/>
      <w:r w:rsidRPr="00D9106F">
        <w:rPr>
          <w:szCs w:val="24"/>
        </w:rPr>
        <w:t xml:space="preserve"> 23/03/2021 </w:t>
      </w:r>
      <w:proofErr w:type="spellStart"/>
      <w:r w:rsidRPr="00D9106F">
        <w:rPr>
          <w:szCs w:val="24"/>
        </w:rPr>
        <w:t>and</w:t>
      </w:r>
      <w:proofErr w:type="spellEnd"/>
      <w:r w:rsidRPr="00D9106F">
        <w:rPr>
          <w:szCs w:val="24"/>
        </w:rPr>
        <w:t xml:space="preserve"> </w:t>
      </w:r>
      <w:proofErr w:type="spellStart"/>
      <w:r w:rsidRPr="00D9106F">
        <w:rPr>
          <w:szCs w:val="24"/>
        </w:rPr>
        <w:t>numbered</w:t>
      </w:r>
      <w:proofErr w:type="spellEnd"/>
      <w:r w:rsidRPr="00D9106F">
        <w:rPr>
          <w:szCs w:val="24"/>
        </w:rPr>
        <w:t xml:space="preserve"> 2021/05-04.</w:t>
      </w:r>
    </w:p>
    <w:sectPr w:rsidR="006D7877" w:rsidRPr="00D9106F">
      <w:pgSz w:w="11910" w:h="16840"/>
      <w:pgMar w:top="12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FA3"/>
    <w:multiLevelType w:val="hybridMultilevel"/>
    <w:tmpl w:val="D318E02E"/>
    <w:lvl w:ilvl="0" w:tplc="01461B1C">
      <w:start w:val="1"/>
      <w:numFmt w:val="lowerLetter"/>
      <w:lvlText w:val="%1)"/>
      <w:lvlJc w:val="left"/>
      <w:pPr>
        <w:ind w:left="116" w:hanging="270"/>
        <w:jc w:val="left"/>
      </w:pPr>
      <w:rPr>
        <w:rFonts w:ascii="Times New Roman" w:eastAsia="Times New Roman" w:hAnsi="Times New Roman" w:cs="Times New Roman" w:hint="default"/>
        <w:spacing w:val="-2"/>
        <w:w w:val="98"/>
        <w:sz w:val="24"/>
        <w:szCs w:val="24"/>
      </w:rPr>
    </w:lvl>
    <w:lvl w:ilvl="1" w:tplc="425C1596">
      <w:numFmt w:val="bullet"/>
      <w:lvlText w:val="•"/>
      <w:lvlJc w:val="left"/>
      <w:pPr>
        <w:ind w:left="1038" w:hanging="270"/>
      </w:pPr>
      <w:rPr>
        <w:rFonts w:hint="default"/>
      </w:rPr>
    </w:lvl>
    <w:lvl w:ilvl="2" w:tplc="75328998">
      <w:numFmt w:val="bullet"/>
      <w:lvlText w:val="•"/>
      <w:lvlJc w:val="left"/>
      <w:pPr>
        <w:ind w:left="1956" w:hanging="270"/>
      </w:pPr>
      <w:rPr>
        <w:rFonts w:hint="default"/>
      </w:rPr>
    </w:lvl>
    <w:lvl w:ilvl="3" w:tplc="FF20FE08">
      <w:numFmt w:val="bullet"/>
      <w:lvlText w:val="•"/>
      <w:lvlJc w:val="left"/>
      <w:pPr>
        <w:ind w:left="2875" w:hanging="270"/>
      </w:pPr>
      <w:rPr>
        <w:rFonts w:hint="default"/>
      </w:rPr>
    </w:lvl>
    <w:lvl w:ilvl="4" w:tplc="134CBA98">
      <w:numFmt w:val="bullet"/>
      <w:lvlText w:val="•"/>
      <w:lvlJc w:val="left"/>
      <w:pPr>
        <w:ind w:left="3793" w:hanging="270"/>
      </w:pPr>
      <w:rPr>
        <w:rFonts w:hint="default"/>
      </w:rPr>
    </w:lvl>
    <w:lvl w:ilvl="5" w:tplc="FF40DF3E">
      <w:numFmt w:val="bullet"/>
      <w:lvlText w:val="•"/>
      <w:lvlJc w:val="left"/>
      <w:pPr>
        <w:ind w:left="4712" w:hanging="270"/>
      </w:pPr>
      <w:rPr>
        <w:rFonts w:hint="default"/>
      </w:rPr>
    </w:lvl>
    <w:lvl w:ilvl="6" w:tplc="02D89944">
      <w:numFmt w:val="bullet"/>
      <w:lvlText w:val="•"/>
      <w:lvlJc w:val="left"/>
      <w:pPr>
        <w:ind w:left="5630" w:hanging="270"/>
      </w:pPr>
      <w:rPr>
        <w:rFonts w:hint="default"/>
      </w:rPr>
    </w:lvl>
    <w:lvl w:ilvl="7" w:tplc="6174287A">
      <w:numFmt w:val="bullet"/>
      <w:lvlText w:val="•"/>
      <w:lvlJc w:val="left"/>
      <w:pPr>
        <w:ind w:left="6549" w:hanging="270"/>
      </w:pPr>
      <w:rPr>
        <w:rFonts w:hint="default"/>
      </w:rPr>
    </w:lvl>
    <w:lvl w:ilvl="8" w:tplc="2BA49A46">
      <w:numFmt w:val="bullet"/>
      <w:lvlText w:val="•"/>
      <w:lvlJc w:val="left"/>
      <w:pPr>
        <w:ind w:left="7467" w:hanging="270"/>
      </w:pPr>
      <w:rPr>
        <w:rFonts w:hint="default"/>
      </w:rPr>
    </w:lvl>
  </w:abstractNum>
  <w:abstractNum w:abstractNumId="1" w15:restartNumberingAfterBreak="0">
    <w:nsid w:val="129C24CE"/>
    <w:multiLevelType w:val="hybridMultilevel"/>
    <w:tmpl w:val="72662FB0"/>
    <w:lvl w:ilvl="0" w:tplc="E7903592">
      <w:start w:val="2"/>
      <w:numFmt w:val="decimal"/>
      <w:lvlText w:val="(%1)"/>
      <w:lvlJc w:val="left"/>
      <w:pPr>
        <w:ind w:left="116" w:hanging="339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</w:rPr>
    </w:lvl>
    <w:lvl w:ilvl="1" w:tplc="A21EECBA">
      <w:start w:val="2"/>
      <w:numFmt w:val="lowerLetter"/>
      <w:lvlText w:val="(%2)"/>
      <w:lvlJc w:val="left"/>
      <w:pPr>
        <w:ind w:left="332" w:hanging="33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22963C98">
      <w:numFmt w:val="bullet"/>
      <w:lvlText w:val="•"/>
      <w:lvlJc w:val="left"/>
      <w:pPr>
        <w:ind w:left="1336" w:hanging="330"/>
      </w:pPr>
      <w:rPr>
        <w:rFonts w:hint="default"/>
      </w:rPr>
    </w:lvl>
    <w:lvl w:ilvl="3" w:tplc="1E144854">
      <w:numFmt w:val="bullet"/>
      <w:lvlText w:val="•"/>
      <w:lvlJc w:val="left"/>
      <w:pPr>
        <w:ind w:left="2332" w:hanging="330"/>
      </w:pPr>
      <w:rPr>
        <w:rFonts w:hint="default"/>
      </w:rPr>
    </w:lvl>
    <w:lvl w:ilvl="4" w:tplc="4D16A2F4">
      <w:numFmt w:val="bullet"/>
      <w:lvlText w:val="•"/>
      <w:lvlJc w:val="left"/>
      <w:pPr>
        <w:ind w:left="3328" w:hanging="330"/>
      </w:pPr>
      <w:rPr>
        <w:rFonts w:hint="default"/>
      </w:rPr>
    </w:lvl>
    <w:lvl w:ilvl="5" w:tplc="FA82E83C">
      <w:numFmt w:val="bullet"/>
      <w:lvlText w:val="•"/>
      <w:lvlJc w:val="left"/>
      <w:pPr>
        <w:ind w:left="4324" w:hanging="330"/>
      </w:pPr>
      <w:rPr>
        <w:rFonts w:hint="default"/>
      </w:rPr>
    </w:lvl>
    <w:lvl w:ilvl="6" w:tplc="CB0ADE64">
      <w:numFmt w:val="bullet"/>
      <w:lvlText w:val="•"/>
      <w:lvlJc w:val="left"/>
      <w:pPr>
        <w:ind w:left="5320" w:hanging="330"/>
      </w:pPr>
      <w:rPr>
        <w:rFonts w:hint="default"/>
      </w:rPr>
    </w:lvl>
    <w:lvl w:ilvl="7" w:tplc="1DC42D12">
      <w:numFmt w:val="bullet"/>
      <w:lvlText w:val="•"/>
      <w:lvlJc w:val="left"/>
      <w:pPr>
        <w:ind w:left="6316" w:hanging="330"/>
      </w:pPr>
      <w:rPr>
        <w:rFonts w:hint="default"/>
      </w:rPr>
    </w:lvl>
    <w:lvl w:ilvl="8" w:tplc="50D0C924">
      <w:numFmt w:val="bullet"/>
      <w:lvlText w:val="•"/>
      <w:lvlJc w:val="left"/>
      <w:pPr>
        <w:ind w:left="7312" w:hanging="330"/>
      </w:pPr>
      <w:rPr>
        <w:rFonts w:hint="default"/>
      </w:rPr>
    </w:lvl>
  </w:abstractNum>
  <w:abstractNum w:abstractNumId="2" w15:restartNumberingAfterBreak="0">
    <w:nsid w:val="576C1BEA"/>
    <w:multiLevelType w:val="hybridMultilevel"/>
    <w:tmpl w:val="390E1C2A"/>
    <w:lvl w:ilvl="0" w:tplc="DCF66FA6">
      <w:start w:val="1"/>
      <w:numFmt w:val="lowerLetter"/>
      <w:lvlText w:val="%1)"/>
      <w:lvlJc w:val="left"/>
      <w:pPr>
        <w:ind w:left="116" w:hanging="282"/>
        <w:jc w:val="right"/>
      </w:pPr>
      <w:rPr>
        <w:rFonts w:hint="default"/>
        <w:spacing w:val="-25"/>
        <w:w w:val="100"/>
      </w:rPr>
    </w:lvl>
    <w:lvl w:ilvl="1" w:tplc="C75CCB9E">
      <w:numFmt w:val="bullet"/>
      <w:lvlText w:val="•"/>
      <w:lvlJc w:val="left"/>
      <w:pPr>
        <w:ind w:left="1038" w:hanging="282"/>
      </w:pPr>
      <w:rPr>
        <w:rFonts w:hint="default"/>
      </w:rPr>
    </w:lvl>
    <w:lvl w:ilvl="2" w:tplc="F9E2E360">
      <w:numFmt w:val="bullet"/>
      <w:lvlText w:val="•"/>
      <w:lvlJc w:val="left"/>
      <w:pPr>
        <w:ind w:left="1956" w:hanging="282"/>
      </w:pPr>
      <w:rPr>
        <w:rFonts w:hint="default"/>
      </w:rPr>
    </w:lvl>
    <w:lvl w:ilvl="3" w:tplc="75C2F0C4">
      <w:numFmt w:val="bullet"/>
      <w:lvlText w:val="•"/>
      <w:lvlJc w:val="left"/>
      <w:pPr>
        <w:ind w:left="2875" w:hanging="282"/>
      </w:pPr>
      <w:rPr>
        <w:rFonts w:hint="default"/>
      </w:rPr>
    </w:lvl>
    <w:lvl w:ilvl="4" w:tplc="0F4E74B8">
      <w:numFmt w:val="bullet"/>
      <w:lvlText w:val="•"/>
      <w:lvlJc w:val="left"/>
      <w:pPr>
        <w:ind w:left="3793" w:hanging="282"/>
      </w:pPr>
      <w:rPr>
        <w:rFonts w:hint="default"/>
      </w:rPr>
    </w:lvl>
    <w:lvl w:ilvl="5" w:tplc="396EC464">
      <w:numFmt w:val="bullet"/>
      <w:lvlText w:val="•"/>
      <w:lvlJc w:val="left"/>
      <w:pPr>
        <w:ind w:left="4712" w:hanging="282"/>
      </w:pPr>
      <w:rPr>
        <w:rFonts w:hint="default"/>
      </w:rPr>
    </w:lvl>
    <w:lvl w:ilvl="6" w:tplc="BE345F14">
      <w:numFmt w:val="bullet"/>
      <w:lvlText w:val="•"/>
      <w:lvlJc w:val="left"/>
      <w:pPr>
        <w:ind w:left="5630" w:hanging="282"/>
      </w:pPr>
      <w:rPr>
        <w:rFonts w:hint="default"/>
      </w:rPr>
    </w:lvl>
    <w:lvl w:ilvl="7" w:tplc="012AFB5A">
      <w:numFmt w:val="bullet"/>
      <w:lvlText w:val="•"/>
      <w:lvlJc w:val="left"/>
      <w:pPr>
        <w:ind w:left="6549" w:hanging="282"/>
      </w:pPr>
      <w:rPr>
        <w:rFonts w:hint="default"/>
      </w:rPr>
    </w:lvl>
    <w:lvl w:ilvl="8" w:tplc="68E81AFA">
      <w:numFmt w:val="bullet"/>
      <w:lvlText w:val="•"/>
      <w:lvlJc w:val="left"/>
      <w:pPr>
        <w:ind w:left="7467" w:hanging="282"/>
      </w:pPr>
      <w:rPr>
        <w:rFonts w:hint="default"/>
      </w:rPr>
    </w:lvl>
  </w:abstractNum>
  <w:abstractNum w:abstractNumId="3" w15:restartNumberingAfterBreak="0">
    <w:nsid w:val="666E4B4E"/>
    <w:multiLevelType w:val="hybridMultilevel"/>
    <w:tmpl w:val="8B7C8E10"/>
    <w:lvl w:ilvl="0" w:tplc="5EE29256">
      <w:start w:val="1"/>
      <w:numFmt w:val="lowerLetter"/>
      <w:lvlText w:val="%1)"/>
      <w:lvlJc w:val="left"/>
      <w:pPr>
        <w:ind w:left="116" w:hanging="234"/>
        <w:jc w:val="right"/>
      </w:pPr>
      <w:rPr>
        <w:rFonts w:hint="default"/>
        <w:spacing w:val="-1"/>
        <w:w w:val="100"/>
      </w:rPr>
    </w:lvl>
    <w:lvl w:ilvl="1" w:tplc="9A567382">
      <w:numFmt w:val="bullet"/>
      <w:lvlText w:val="•"/>
      <w:lvlJc w:val="left"/>
      <w:pPr>
        <w:ind w:left="1068" w:hanging="234"/>
      </w:pPr>
      <w:rPr>
        <w:rFonts w:hint="default"/>
      </w:rPr>
    </w:lvl>
    <w:lvl w:ilvl="2" w:tplc="CF64B890">
      <w:numFmt w:val="bullet"/>
      <w:lvlText w:val="•"/>
      <w:lvlJc w:val="left"/>
      <w:pPr>
        <w:ind w:left="2016" w:hanging="234"/>
      </w:pPr>
      <w:rPr>
        <w:rFonts w:hint="default"/>
      </w:rPr>
    </w:lvl>
    <w:lvl w:ilvl="3" w:tplc="158E4B4C">
      <w:numFmt w:val="bullet"/>
      <w:lvlText w:val="•"/>
      <w:lvlJc w:val="left"/>
      <w:pPr>
        <w:ind w:left="2965" w:hanging="234"/>
      </w:pPr>
      <w:rPr>
        <w:rFonts w:hint="default"/>
      </w:rPr>
    </w:lvl>
    <w:lvl w:ilvl="4" w:tplc="1D046D1E">
      <w:numFmt w:val="bullet"/>
      <w:lvlText w:val="•"/>
      <w:lvlJc w:val="left"/>
      <w:pPr>
        <w:ind w:left="3913" w:hanging="234"/>
      </w:pPr>
      <w:rPr>
        <w:rFonts w:hint="default"/>
      </w:rPr>
    </w:lvl>
    <w:lvl w:ilvl="5" w:tplc="76228D84">
      <w:numFmt w:val="bullet"/>
      <w:lvlText w:val="•"/>
      <w:lvlJc w:val="left"/>
      <w:pPr>
        <w:ind w:left="4862" w:hanging="234"/>
      </w:pPr>
      <w:rPr>
        <w:rFonts w:hint="default"/>
      </w:rPr>
    </w:lvl>
    <w:lvl w:ilvl="6" w:tplc="A976B53E">
      <w:numFmt w:val="bullet"/>
      <w:lvlText w:val="•"/>
      <w:lvlJc w:val="left"/>
      <w:pPr>
        <w:ind w:left="5810" w:hanging="234"/>
      </w:pPr>
      <w:rPr>
        <w:rFonts w:hint="default"/>
      </w:rPr>
    </w:lvl>
    <w:lvl w:ilvl="7" w:tplc="8C5C34E4">
      <w:numFmt w:val="bullet"/>
      <w:lvlText w:val="•"/>
      <w:lvlJc w:val="left"/>
      <w:pPr>
        <w:ind w:left="6759" w:hanging="234"/>
      </w:pPr>
      <w:rPr>
        <w:rFonts w:hint="default"/>
      </w:rPr>
    </w:lvl>
    <w:lvl w:ilvl="8" w:tplc="7D06EA32">
      <w:numFmt w:val="bullet"/>
      <w:lvlText w:val="•"/>
      <w:lvlJc w:val="left"/>
      <w:pPr>
        <w:ind w:left="7707" w:hanging="234"/>
      </w:pPr>
      <w:rPr>
        <w:rFonts w:hint="default"/>
      </w:rPr>
    </w:lvl>
  </w:abstractNum>
  <w:abstractNum w:abstractNumId="4" w15:restartNumberingAfterBreak="0">
    <w:nsid w:val="69FD5CC6"/>
    <w:multiLevelType w:val="hybridMultilevel"/>
    <w:tmpl w:val="A226F2C0"/>
    <w:lvl w:ilvl="0" w:tplc="67F8FC24">
      <w:start w:val="1"/>
      <w:numFmt w:val="lowerRoman"/>
      <w:lvlText w:val="%1."/>
      <w:lvlJc w:val="left"/>
      <w:pPr>
        <w:ind w:left="116" w:hanging="1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8804364">
      <w:numFmt w:val="bullet"/>
      <w:lvlText w:val="•"/>
      <w:lvlJc w:val="left"/>
      <w:pPr>
        <w:ind w:left="1038" w:hanging="176"/>
      </w:pPr>
      <w:rPr>
        <w:rFonts w:hint="default"/>
      </w:rPr>
    </w:lvl>
    <w:lvl w:ilvl="2" w:tplc="EA24F8C0">
      <w:numFmt w:val="bullet"/>
      <w:lvlText w:val="•"/>
      <w:lvlJc w:val="left"/>
      <w:pPr>
        <w:ind w:left="1956" w:hanging="176"/>
      </w:pPr>
      <w:rPr>
        <w:rFonts w:hint="default"/>
      </w:rPr>
    </w:lvl>
    <w:lvl w:ilvl="3" w:tplc="66D8F756">
      <w:numFmt w:val="bullet"/>
      <w:lvlText w:val="•"/>
      <w:lvlJc w:val="left"/>
      <w:pPr>
        <w:ind w:left="2875" w:hanging="176"/>
      </w:pPr>
      <w:rPr>
        <w:rFonts w:hint="default"/>
      </w:rPr>
    </w:lvl>
    <w:lvl w:ilvl="4" w:tplc="5760500E">
      <w:numFmt w:val="bullet"/>
      <w:lvlText w:val="•"/>
      <w:lvlJc w:val="left"/>
      <w:pPr>
        <w:ind w:left="3793" w:hanging="176"/>
      </w:pPr>
      <w:rPr>
        <w:rFonts w:hint="default"/>
      </w:rPr>
    </w:lvl>
    <w:lvl w:ilvl="5" w:tplc="A90A78A8">
      <w:numFmt w:val="bullet"/>
      <w:lvlText w:val="•"/>
      <w:lvlJc w:val="left"/>
      <w:pPr>
        <w:ind w:left="4712" w:hanging="176"/>
      </w:pPr>
      <w:rPr>
        <w:rFonts w:hint="default"/>
      </w:rPr>
    </w:lvl>
    <w:lvl w:ilvl="6" w:tplc="37D66F76">
      <w:numFmt w:val="bullet"/>
      <w:lvlText w:val="•"/>
      <w:lvlJc w:val="left"/>
      <w:pPr>
        <w:ind w:left="5630" w:hanging="176"/>
      </w:pPr>
      <w:rPr>
        <w:rFonts w:hint="default"/>
      </w:rPr>
    </w:lvl>
    <w:lvl w:ilvl="7" w:tplc="5E5E9F7E">
      <w:numFmt w:val="bullet"/>
      <w:lvlText w:val="•"/>
      <w:lvlJc w:val="left"/>
      <w:pPr>
        <w:ind w:left="6549" w:hanging="176"/>
      </w:pPr>
      <w:rPr>
        <w:rFonts w:hint="default"/>
      </w:rPr>
    </w:lvl>
    <w:lvl w:ilvl="8" w:tplc="23FE2222">
      <w:numFmt w:val="bullet"/>
      <w:lvlText w:val="•"/>
      <w:lvlJc w:val="left"/>
      <w:pPr>
        <w:ind w:left="7467" w:hanging="176"/>
      </w:pPr>
      <w:rPr>
        <w:rFonts w:hint="default"/>
      </w:rPr>
    </w:lvl>
  </w:abstractNum>
  <w:abstractNum w:abstractNumId="5" w15:restartNumberingAfterBreak="0">
    <w:nsid w:val="6A1E4E94"/>
    <w:multiLevelType w:val="hybridMultilevel"/>
    <w:tmpl w:val="88FC8B42"/>
    <w:lvl w:ilvl="0" w:tplc="FEDE4104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8820D16C">
      <w:numFmt w:val="bullet"/>
      <w:lvlText w:val="•"/>
      <w:lvlJc w:val="left"/>
      <w:pPr>
        <w:ind w:left="1038" w:hanging="286"/>
      </w:pPr>
      <w:rPr>
        <w:rFonts w:hint="default"/>
      </w:rPr>
    </w:lvl>
    <w:lvl w:ilvl="2" w:tplc="C4D8041C">
      <w:numFmt w:val="bullet"/>
      <w:lvlText w:val="•"/>
      <w:lvlJc w:val="left"/>
      <w:pPr>
        <w:ind w:left="1956" w:hanging="286"/>
      </w:pPr>
      <w:rPr>
        <w:rFonts w:hint="default"/>
      </w:rPr>
    </w:lvl>
    <w:lvl w:ilvl="3" w:tplc="F7E4A67E">
      <w:numFmt w:val="bullet"/>
      <w:lvlText w:val="•"/>
      <w:lvlJc w:val="left"/>
      <w:pPr>
        <w:ind w:left="2875" w:hanging="286"/>
      </w:pPr>
      <w:rPr>
        <w:rFonts w:hint="default"/>
      </w:rPr>
    </w:lvl>
    <w:lvl w:ilvl="4" w:tplc="A7422CF8">
      <w:numFmt w:val="bullet"/>
      <w:lvlText w:val="•"/>
      <w:lvlJc w:val="left"/>
      <w:pPr>
        <w:ind w:left="3793" w:hanging="286"/>
      </w:pPr>
      <w:rPr>
        <w:rFonts w:hint="default"/>
      </w:rPr>
    </w:lvl>
    <w:lvl w:ilvl="5" w:tplc="7C7C352E">
      <w:numFmt w:val="bullet"/>
      <w:lvlText w:val="•"/>
      <w:lvlJc w:val="left"/>
      <w:pPr>
        <w:ind w:left="4712" w:hanging="286"/>
      </w:pPr>
      <w:rPr>
        <w:rFonts w:hint="default"/>
      </w:rPr>
    </w:lvl>
    <w:lvl w:ilvl="6" w:tplc="9232F2CC">
      <w:numFmt w:val="bullet"/>
      <w:lvlText w:val="•"/>
      <w:lvlJc w:val="left"/>
      <w:pPr>
        <w:ind w:left="5630" w:hanging="286"/>
      </w:pPr>
      <w:rPr>
        <w:rFonts w:hint="default"/>
      </w:rPr>
    </w:lvl>
    <w:lvl w:ilvl="7" w:tplc="143A7350">
      <w:numFmt w:val="bullet"/>
      <w:lvlText w:val="•"/>
      <w:lvlJc w:val="left"/>
      <w:pPr>
        <w:ind w:left="6549" w:hanging="286"/>
      </w:pPr>
      <w:rPr>
        <w:rFonts w:hint="default"/>
      </w:rPr>
    </w:lvl>
    <w:lvl w:ilvl="8" w:tplc="3F702BB8">
      <w:numFmt w:val="bullet"/>
      <w:lvlText w:val="•"/>
      <w:lvlJc w:val="left"/>
      <w:pPr>
        <w:ind w:left="7467" w:hanging="28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MDU1MzUxMzW0sDBQ0lEKTi0uzszPAykwrgUANacBxCwAAAA="/>
  </w:docVars>
  <w:rsids>
    <w:rsidRoot w:val="006D7877"/>
    <w:rsid w:val="00114ECF"/>
    <w:rsid w:val="001B32DE"/>
    <w:rsid w:val="0035143D"/>
    <w:rsid w:val="00352395"/>
    <w:rsid w:val="003A7A11"/>
    <w:rsid w:val="004E6E7B"/>
    <w:rsid w:val="005121BC"/>
    <w:rsid w:val="006D7877"/>
    <w:rsid w:val="0076005D"/>
    <w:rsid w:val="00877F42"/>
    <w:rsid w:val="00AE2596"/>
    <w:rsid w:val="00C24C4E"/>
    <w:rsid w:val="00D9106F"/>
    <w:rsid w:val="00EA494D"/>
    <w:rsid w:val="00F5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CCD0B1"/>
  <w15:docId w15:val="{31F2D089-45C3-4C87-8ADB-AABFBB6C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spacing w:before="10"/>
      <w:ind w:left="116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ListParagraph4">
    <w:name w:val="P68B1DB1-ListParagraph4"/>
    <w:basedOn w:val="ListeParagraf"/>
    <w:rPr>
      <w:color w:val="202020"/>
      <w:sz w:val="24"/>
    </w:rPr>
  </w:style>
  <w:style w:type="paragraph" w:customStyle="1" w:styleId="P68B1DB1-BodyText5">
    <w:name w:val="P68B1DB1-BodyText5"/>
    <w:basedOn w:val="GvdeMetni"/>
    <w:rPr>
      <w:color w:val="202020"/>
    </w:rPr>
  </w:style>
  <w:style w:type="paragraph" w:customStyle="1" w:styleId="P68B1DB1-TableParagraph6">
    <w:name w:val="P68B1DB1-TableParagraph6"/>
    <w:basedOn w:val="TableParagraph"/>
    <w:rPr>
      <w:b/>
      <w:sz w:val="20"/>
    </w:rPr>
  </w:style>
  <w:style w:type="paragraph" w:customStyle="1" w:styleId="P68B1DB1-TableParagraph7">
    <w:name w:val="P68B1DB1-TableParagraph7"/>
    <w:basedOn w:val="TableParagraph"/>
    <w:rPr>
      <w:sz w:val="20"/>
    </w:rPr>
  </w:style>
  <w:style w:type="paragraph" w:customStyle="1" w:styleId="P68B1DB1-TableParagraph8">
    <w:name w:val="P68B1DB1-TableParagraph8"/>
    <w:basedOn w:val="TableParagraph"/>
    <w:rPr>
      <w:b/>
      <w:sz w:val="24"/>
    </w:rPr>
  </w:style>
  <w:style w:type="paragraph" w:customStyle="1" w:styleId="P68B1DB1-TableParagraph9">
    <w:name w:val="P68B1DB1-TableParagraph9"/>
    <w:basedOn w:val="TableParagraph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Teşvik Yönergesi 14.04.2021</dc:title>
  <dc:creator>hyorulmaz</dc:creator>
  <cp:lastModifiedBy>Şebnem GÜNGÖR</cp:lastModifiedBy>
  <cp:revision>15</cp:revision>
  <dcterms:created xsi:type="dcterms:W3CDTF">2021-06-30T11:51:00Z</dcterms:created>
  <dcterms:modified xsi:type="dcterms:W3CDTF">2021-10-06T07:15:00Z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2021-06-30T00:00:00Z</vt:filetime>
  </property>
</Properties>
</file>