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1913" w14:textId="77777777" w:rsidR="00A8396F" w:rsidRDefault="008E25F3">
      <w:pPr>
        <w:pStyle w:val="Balk1"/>
        <w:spacing w:before="76"/>
        <w:ind w:left="272" w:right="418"/>
        <w:jc w:val="center"/>
      </w:pPr>
      <w:r>
        <w:t>T.C.</w:t>
      </w:r>
    </w:p>
    <w:p w14:paraId="354E81F8" w14:textId="77777777" w:rsidR="00D923DD" w:rsidRDefault="00FB7136">
      <w:pPr>
        <w:pStyle w:val="P68B1DB1-Normal1"/>
        <w:spacing w:before="88" w:line="256" w:lineRule="auto"/>
        <w:ind w:left="272" w:right="420"/>
        <w:jc w:val="center"/>
      </w:pPr>
      <w:r>
        <w:t>ISTANBUL MED</w:t>
      </w:r>
      <w:r w:rsidR="0085418C">
        <w:t>I</w:t>
      </w:r>
      <w:r>
        <w:t>POL U</w:t>
      </w:r>
      <w:r w:rsidR="003D0B31">
        <w:t>N</w:t>
      </w:r>
      <w:r w:rsidR="0085418C">
        <w:t>I</w:t>
      </w:r>
      <w:r>
        <w:t>VERS</w:t>
      </w:r>
      <w:r w:rsidR="0085418C">
        <w:t>I</w:t>
      </w:r>
      <w:r>
        <w:t>TY</w:t>
      </w:r>
    </w:p>
    <w:p w14:paraId="19A9BBD5" w14:textId="7C7F28D6" w:rsidR="00A8396F" w:rsidRDefault="008E25F3">
      <w:pPr>
        <w:pStyle w:val="P68B1DB1-Normal1"/>
        <w:spacing w:before="88" w:line="256" w:lineRule="auto"/>
        <w:ind w:left="272" w:right="420"/>
        <w:jc w:val="center"/>
      </w:pPr>
      <w:r>
        <w:t>GUEST RESEARCHER ACCEPTANCE AND IMPLEMENTATION INSTRUCTION</w:t>
      </w:r>
    </w:p>
    <w:p w14:paraId="1F978A43" w14:textId="77777777" w:rsidR="00A8396F" w:rsidRDefault="00A8396F">
      <w:pPr>
        <w:pStyle w:val="GvdeMetni"/>
        <w:ind w:left="0" w:firstLine="0"/>
        <w:rPr>
          <w:b/>
          <w:sz w:val="26"/>
        </w:rPr>
      </w:pPr>
    </w:p>
    <w:p w14:paraId="139FE271" w14:textId="77777777" w:rsidR="00A8396F" w:rsidRDefault="00A8396F">
      <w:pPr>
        <w:pStyle w:val="GvdeMetni"/>
        <w:spacing w:before="10"/>
        <w:ind w:left="0" w:firstLine="0"/>
        <w:rPr>
          <w:b/>
          <w:sz w:val="34"/>
        </w:rPr>
      </w:pPr>
    </w:p>
    <w:p w14:paraId="4CF53170" w14:textId="77777777" w:rsidR="00A07821" w:rsidRDefault="008E25F3">
      <w:pPr>
        <w:pStyle w:val="P68B1DB1-Normal1"/>
        <w:spacing w:before="1"/>
        <w:ind w:left="272" w:right="320"/>
        <w:jc w:val="center"/>
      </w:pPr>
      <w:r>
        <w:t>FIRST SECTION</w:t>
      </w:r>
    </w:p>
    <w:p w14:paraId="77BEC211" w14:textId="3B4B25C8" w:rsidR="00A8396F" w:rsidRDefault="008E25F3">
      <w:pPr>
        <w:pStyle w:val="P68B1DB1-Normal1"/>
        <w:spacing w:before="1"/>
        <w:ind w:left="272" w:right="320"/>
        <w:jc w:val="center"/>
      </w:pPr>
      <w:proofErr w:type="spellStart"/>
      <w:r>
        <w:t>Aim</w:t>
      </w:r>
      <w:proofErr w:type="spellEnd"/>
      <w:r>
        <w:t xml:space="preserve">, </w:t>
      </w:r>
      <w:proofErr w:type="spellStart"/>
      <w:r>
        <w:t>Scope</w:t>
      </w:r>
      <w:proofErr w:type="spellEnd"/>
      <w:r>
        <w:t xml:space="preserve">, </w:t>
      </w:r>
      <w:proofErr w:type="spellStart"/>
      <w:r>
        <w:t>Definitions</w:t>
      </w:r>
      <w:proofErr w:type="spellEnd"/>
      <w:r>
        <w:t xml:space="preserve"> </w:t>
      </w:r>
      <w:proofErr w:type="spellStart"/>
      <w:r>
        <w:t>Aim</w:t>
      </w:r>
      <w:proofErr w:type="spellEnd"/>
    </w:p>
    <w:p w14:paraId="6C280F24" w14:textId="106629B3" w:rsidR="00A8396F" w:rsidRDefault="008E25F3">
      <w:pPr>
        <w:pStyle w:val="GvdeMetni"/>
        <w:spacing w:before="69" w:line="302" w:lineRule="auto"/>
        <w:ind w:right="119"/>
        <w:jc w:val="both"/>
      </w:pPr>
      <w:r>
        <w:rPr>
          <w:b/>
        </w:rPr>
        <w:t xml:space="preserve">ARTICLE 1- </w:t>
      </w:r>
      <w:proofErr w:type="spellStart"/>
      <w:r>
        <w:t>Th</w:t>
      </w:r>
      <w:r w:rsidR="00E22189">
        <w:t>is</w:t>
      </w:r>
      <w:proofErr w:type="spellEnd"/>
      <w:r w:rsidR="00E22189">
        <w:t xml:space="preserve"> </w:t>
      </w:r>
      <w:proofErr w:type="spellStart"/>
      <w:r w:rsidR="00E22189">
        <w:t>instruction</w:t>
      </w:r>
      <w:proofErr w:type="spellEnd"/>
      <w:r w:rsidR="00E22189">
        <w:t xml:space="preserve"> </w:t>
      </w:r>
      <w:proofErr w:type="spellStart"/>
      <w:r w:rsidR="00E22189">
        <w:t>aim</w:t>
      </w:r>
      <w:r>
        <w:t>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of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7E75CE"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57D9D9C7" w14:textId="77777777" w:rsidR="00A8396F" w:rsidRDefault="00A8396F">
      <w:pPr>
        <w:pStyle w:val="GvdeMetni"/>
        <w:spacing w:before="6"/>
        <w:ind w:left="0" w:firstLine="0"/>
        <w:rPr>
          <w:sz w:val="28"/>
        </w:rPr>
      </w:pPr>
    </w:p>
    <w:p w14:paraId="5B849151" w14:textId="4039ED47" w:rsidR="00A8396F" w:rsidRDefault="008E25F3" w:rsidP="00296653">
      <w:pPr>
        <w:pStyle w:val="Balk1"/>
        <w:jc w:val="center"/>
      </w:pPr>
      <w:r>
        <w:t>Bas</w:t>
      </w:r>
      <w:r w:rsidR="00AF6ECE">
        <w:t>e</w:t>
      </w:r>
    </w:p>
    <w:p w14:paraId="07C7AB18" w14:textId="3A5A81E8" w:rsidR="00A8396F" w:rsidRDefault="008E25F3">
      <w:pPr>
        <w:pStyle w:val="GvdeMetni"/>
        <w:spacing w:before="69" w:line="302" w:lineRule="auto"/>
        <w:ind w:right="122"/>
        <w:jc w:val="both"/>
      </w:pPr>
      <w:r>
        <w:rPr>
          <w:b/>
        </w:rPr>
        <w:t xml:space="preserve">ARTICLE 2-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</w:t>
      </w:r>
      <w:r w:rsidR="00E22189">
        <w:t>s</w:t>
      </w:r>
      <w:r>
        <w:t>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14th article of the Higher Education Law No. 2547.</w:t>
      </w:r>
    </w:p>
    <w:p w14:paraId="11FB62F5" w14:textId="77777777" w:rsidR="00A8396F" w:rsidRDefault="00A8396F">
      <w:pPr>
        <w:pStyle w:val="GvdeMetni"/>
        <w:spacing w:before="6"/>
        <w:ind w:left="0" w:firstLine="0"/>
        <w:rPr>
          <w:sz w:val="28"/>
        </w:rPr>
      </w:pPr>
    </w:p>
    <w:p w14:paraId="740FFD0F" w14:textId="77777777" w:rsidR="00A8396F" w:rsidRDefault="008E25F3" w:rsidP="00296653">
      <w:pPr>
        <w:pStyle w:val="Balk1"/>
        <w:spacing w:before="1"/>
        <w:jc w:val="center"/>
      </w:pPr>
      <w:r>
        <w:t>Scope</w:t>
      </w:r>
    </w:p>
    <w:p w14:paraId="246C2129" w14:textId="6EADDF77" w:rsidR="00A8396F" w:rsidRDefault="008E25F3">
      <w:pPr>
        <w:pStyle w:val="GvdeMetni"/>
        <w:spacing w:before="69" w:line="302" w:lineRule="auto"/>
        <w:ind w:right="118"/>
        <w:jc w:val="both"/>
      </w:pPr>
      <w:r>
        <w:rPr>
          <w:b/>
        </w:rPr>
        <w:t xml:space="preserve">ARTICLE 3- </w:t>
      </w:r>
      <w:r>
        <w:t xml:space="preserve">This instruction covers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of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E22189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6340ED58" w14:textId="77777777" w:rsidR="00A8396F" w:rsidRDefault="00A8396F">
      <w:pPr>
        <w:pStyle w:val="GvdeMetni"/>
        <w:ind w:left="0" w:firstLine="0"/>
        <w:rPr>
          <w:sz w:val="34"/>
        </w:rPr>
      </w:pPr>
    </w:p>
    <w:p w14:paraId="4CDE45CC" w14:textId="77777777" w:rsidR="00A8396F" w:rsidRDefault="008E25F3" w:rsidP="00296653">
      <w:pPr>
        <w:pStyle w:val="Balk1"/>
        <w:ind w:left="800"/>
        <w:jc w:val="center"/>
      </w:pPr>
      <w:r>
        <w:t>Definitions</w:t>
      </w:r>
    </w:p>
    <w:p w14:paraId="0628947B" w14:textId="165802C3" w:rsidR="00A8396F" w:rsidRDefault="008E25F3" w:rsidP="00296653">
      <w:pPr>
        <w:pStyle w:val="P68B1DB1-Normal2"/>
        <w:spacing w:before="45"/>
      </w:pPr>
      <w:r>
        <w:rPr>
          <w:b/>
        </w:rPr>
        <w:t xml:space="preserve">ARTICLE 4- </w:t>
      </w:r>
      <w:proofErr w:type="spellStart"/>
      <w:r w:rsidR="00D923DD" w:rsidRPr="00D923DD">
        <w:rPr>
          <w:bCs/>
        </w:rPr>
        <w:t>The</w:t>
      </w:r>
      <w:proofErr w:type="spellEnd"/>
      <w:r w:rsidR="00D923DD" w:rsidRPr="00D923DD">
        <w:rPr>
          <w:bCs/>
        </w:rPr>
        <w:t xml:space="preserve"> </w:t>
      </w:r>
      <w:proofErr w:type="spellStart"/>
      <w:r w:rsidR="00D923DD" w:rsidRPr="00D923DD">
        <w:rPr>
          <w:bCs/>
        </w:rPr>
        <w:t>definitions</w:t>
      </w:r>
      <w:proofErr w:type="spellEnd"/>
      <w:r w:rsidR="00D923DD" w:rsidRPr="00D923DD">
        <w:rPr>
          <w:bCs/>
        </w:rPr>
        <w:t xml:space="preserve"> in </w:t>
      </w:r>
      <w:proofErr w:type="spellStart"/>
      <w:r w:rsidRPr="00D923DD">
        <w:rPr>
          <w:bCs/>
        </w:rPr>
        <w:t>this</w:t>
      </w:r>
      <w:proofErr w:type="spellEnd"/>
      <w:r w:rsidRPr="00D923DD">
        <w:rPr>
          <w:bCs/>
        </w:rPr>
        <w:t xml:space="preserve"> </w:t>
      </w:r>
      <w:proofErr w:type="spellStart"/>
      <w:r w:rsidRPr="00D923DD">
        <w:rPr>
          <w:bCs/>
        </w:rPr>
        <w:t>instruction</w:t>
      </w:r>
      <w:proofErr w:type="spellEnd"/>
      <w:r w:rsidR="00D923DD">
        <w:rPr>
          <w:bCs/>
        </w:rPr>
        <w:t xml:space="preserve"> </w:t>
      </w:r>
      <w:proofErr w:type="spellStart"/>
      <w:r w:rsidR="00D923DD">
        <w:rPr>
          <w:bCs/>
        </w:rPr>
        <w:t>refer</w:t>
      </w:r>
      <w:proofErr w:type="spellEnd"/>
      <w:r w:rsidR="00D923DD">
        <w:rPr>
          <w:bCs/>
        </w:rPr>
        <w:t xml:space="preserve"> </w:t>
      </w:r>
      <w:proofErr w:type="spellStart"/>
      <w:r w:rsidR="00D923DD">
        <w:rPr>
          <w:bCs/>
        </w:rPr>
        <w:t>to</w:t>
      </w:r>
      <w:proofErr w:type="spellEnd"/>
      <w:r>
        <w:t>;</w:t>
      </w:r>
    </w:p>
    <w:p w14:paraId="5DD4DF57" w14:textId="74723C5B" w:rsidR="00A8396F" w:rsidRDefault="008E25F3">
      <w:pPr>
        <w:pStyle w:val="P68B1DB1-ListeParagraf3"/>
        <w:numPr>
          <w:ilvl w:val="0"/>
          <w:numId w:val="4"/>
        </w:numPr>
        <w:tabs>
          <w:tab w:val="left" w:pos="2216"/>
          <w:tab w:val="left" w:pos="2217"/>
        </w:tabs>
        <w:spacing w:before="76"/>
        <w:ind w:right="0" w:firstLine="699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4A88F056" w14:textId="6F29F823" w:rsidR="00A8396F" w:rsidRDefault="008E25F3">
      <w:pPr>
        <w:pStyle w:val="P68B1DB1-ListeParagraf3"/>
        <w:numPr>
          <w:ilvl w:val="0"/>
          <w:numId w:val="4"/>
        </w:numPr>
        <w:tabs>
          <w:tab w:val="left" w:pos="2216"/>
          <w:tab w:val="left" w:pos="2217"/>
        </w:tabs>
        <w:spacing w:before="76"/>
        <w:ind w:right="0" w:firstLine="699"/>
      </w:pPr>
      <w:proofErr w:type="spellStart"/>
      <w:r>
        <w:t>Rector</w:t>
      </w:r>
      <w:proofErr w:type="spellEnd"/>
      <w:r>
        <w:t xml:space="preserve">: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0278E405" w14:textId="2B882FEB" w:rsidR="00A8396F" w:rsidRDefault="008E25F3">
      <w:pPr>
        <w:pStyle w:val="P68B1DB1-ListeParagraf3"/>
        <w:numPr>
          <w:ilvl w:val="0"/>
          <w:numId w:val="4"/>
        </w:numPr>
        <w:tabs>
          <w:tab w:val="left" w:pos="2217"/>
        </w:tabs>
        <w:spacing w:before="74" w:line="302" w:lineRule="auto"/>
        <w:ind w:right="112" w:firstLine="699"/>
        <w:jc w:val="both"/>
      </w:pPr>
      <w:proofErr w:type="spellStart"/>
      <w:r>
        <w:t>Visiting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: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PhDs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00E22189">
        <w:t>e</w:t>
      </w:r>
      <w:r>
        <w:t>specially</w:t>
      </w:r>
      <w:proofErr w:type="spellEnd"/>
      <w:r>
        <w:t xml:space="preserve"> </w:t>
      </w:r>
      <w:proofErr w:type="spellStart"/>
      <w:r>
        <w:t>talented</w:t>
      </w:r>
      <w:proofErr w:type="spellEnd"/>
      <w:r>
        <w:t xml:space="preserve"> (art,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E22189"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predetermined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program, </w:t>
      </w:r>
    </w:p>
    <w:p w14:paraId="72D03FF2" w14:textId="77777777" w:rsidR="00A8396F" w:rsidRDefault="008E25F3">
      <w:pPr>
        <w:pStyle w:val="GvdeMetni"/>
        <w:spacing w:before="7"/>
        <w:ind w:firstLine="0"/>
      </w:pPr>
      <w:r>
        <w:t xml:space="preserve"> d) Invited Researcher: Invited by the University visiting researcher vocational schools for which transfer application is made.</w:t>
      </w:r>
    </w:p>
    <w:p w14:paraId="3BB2FB04" w14:textId="77777777" w:rsidR="00D923DD" w:rsidRDefault="008E25F3" w:rsidP="00296653">
      <w:pPr>
        <w:pStyle w:val="Balk1"/>
        <w:spacing w:before="42" w:line="680" w:lineRule="atLeast"/>
        <w:ind w:right="2108" w:firstLine="1308"/>
        <w:jc w:val="center"/>
      </w:pPr>
      <w:r>
        <w:t>SECOND SECTION</w:t>
      </w:r>
    </w:p>
    <w:p w14:paraId="3A322698" w14:textId="5C54AE34" w:rsidR="00A8396F" w:rsidRDefault="008E25F3" w:rsidP="00296653">
      <w:pPr>
        <w:pStyle w:val="Balk1"/>
        <w:spacing w:before="42" w:line="680" w:lineRule="atLeast"/>
        <w:ind w:right="2108"/>
        <w:jc w:val="center"/>
      </w:pP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'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</w:p>
    <w:p w14:paraId="30FF738E" w14:textId="1606B61A" w:rsidR="00A8396F" w:rsidRDefault="008E25F3" w:rsidP="00296653">
      <w:pPr>
        <w:pStyle w:val="GvdeMetni"/>
        <w:spacing w:before="69" w:line="302" w:lineRule="auto"/>
        <w:ind w:right="118" w:firstLine="0"/>
        <w:jc w:val="both"/>
      </w:pPr>
      <w:r>
        <w:rPr>
          <w:b/>
        </w:rPr>
        <w:t xml:space="preserve">ARTICLE 5-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of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434840"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5300DC5C" w14:textId="77777777" w:rsidR="00A8396F" w:rsidRDefault="008E25F3">
      <w:pPr>
        <w:pStyle w:val="P68B1DB1-ListeParagraf3"/>
        <w:numPr>
          <w:ilvl w:val="0"/>
          <w:numId w:val="3"/>
        </w:numPr>
        <w:tabs>
          <w:tab w:val="left" w:pos="1509"/>
        </w:tabs>
        <w:spacing w:line="302" w:lineRule="auto"/>
        <w:ind w:firstLine="698"/>
        <w:jc w:val="both"/>
      </w:pPr>
      <w:r>
        <w:t>Visiting researchers are obliged to comply with the Higher Education Law No. 2547 and other legislation.</w:t>
      </w:r>
    </w:p>
    <w:p w14:paraId="6312A417" w14:textId="655946DB" w:rsidR="00A8396F" w:rsidRDefault="008E25F3">
      <w:pPr>
        <w:pStyle w:val="P68B1DB1-ListeParagraf3"/>
        <w:numPr>
          <w:ilvl w:val="0"/>
          <w:numId w:val="3"/>
        </w:numPr>
        <w:tabs>
          <w:tab w:val="left" w:pos="1509"/>
        </w:tabs>
        <w:spacing w:before="8" w:line="302" w:lineRule="auto"/>
        <w:ind w:right="116" w:firstLine="698"/>
        <w:jc w:val="both"/>
      </w:pPr>
      <w:r>
        <w:t xml:space="preserve">In case of an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E22189">
        <w:t xml:space="preserve"> </w:t>
      </w:r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, </w:t>
      </w:r>
      <w:proofErr w:type="spellStart"/>
      <w:r w:rsidR="00E22189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  <w:proofErr w:type="spellStart"/>
      <w:r>
        <w:t>I</w:t>
      </w:r>
      <w:r w:rsidR="00E22189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a </w:t>
      </w:r>
      <w:r>
        <w:lastRenderedPageBreak/>
        <w:t xml:space="preserve">product covered by patent and intellectual property rights, </w:t>
      </w:r>
    </w:p>
    <w:p w14:paraId="5D2DEB0F" w14:textId="77777777" w:rsidR="00A8396F" w:rsidRDefault="00A8396F">
      <w:pPr>
        <w:spacing w:line="302" w:lineRule="auto"/>
        <w:jc w:val="both"/>
        <w:rPr>
          <w:sz w:val="24"/>
        </w:rPr>
        <w:sectPr w:rsidR="00A8396F">
          <w:type w:val="continuous"/>
          <w:pgSz w:w="11910" w:h="16840"/>
          <w:pgMar w:top="1080" w:right="1520" w:bottom="280" w:left="1660" w:header="708" w:footer="708" w:gutter="0"/>
          <w:cols w:space="708"/>
        </w:sectPr>
      </w:pPr>
    </w:p>
    <w:p w14:paraId="459F7D15" w14:textId="4F94B049" w:rsidR="00A8396F" w:rsidRDefault="008E25F3">
      <w:pPr>
        <w:pStyle w:val="GvdeMetni"/>
        <w:spacing w:before="76" w:line="300" w:lineRule="auto"/>
        <w:ind w:firstLine="0"/>
      </w:pPr>
      <w:proofErr w:type="spellStart"/>
      <w:proofErr w:type="gramStart"/>
      <w:r>
        <w:lastRenderedPageBreak/>
        <w:t>the</w:t>
      </w:r>
      <w:proofErr w:type="spellEnd"/>
      <w:proofErr w:type="gramEnd"/>
      <w:r>
        <w:t xml:space="preserve"> legal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 w:rsidR="00B774F4">
        <w:t>Istanbul</w:t>
      </w:r>
      <w:proofErr w:type="spellEnd"/>
      <w:r w:rsidR="00B774F4">
        <w:t xml:space="preserve"> </w:t>
      </w:r>
      <w:proofErr w:type="spellStart"/>
      <w:r w:rsidR="00B774F4">
        <w:t>Medipol</w:t>
      </w:r>
      <w:proofErr w:type="spellEnd"/>
      <w:r w:rsidR="00B774F4">
        <w:t xml:space="preserve"> </w:t>
      </w:r>
      <w:proofErr w:type="spellStart"/>
      <w:r w:rsidR="00B774F4">
        <w:t>University</w:t>
      </w:r>
      <w:proofErr w:type="spellEnd"/>
      <w:r w:rsidR="00E22189"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>.</w:t>
      </w:r>
    </w:p>
    <w:p w14:paraId="128E7848" w14:textId="77777777" w:rsidR="00A8396F" w:rsidRDefault="00A8396F">
      <w:pPr>
        <w:pStyle w:val="GvdeMetni"/>
        <w:ind w:left="0" w:firstLine="0"/>
        <w:rPr>
          <w:sz w:val="26"/>
        </w:rPr>
      </w:pPr>
    </w:p>
    <w:p w14:paraId="7EA919F9" w14:textId="77777777" w:rsidR="00A8396F" w:rsidRDefault="00A8396F">
      <w:pPr>
        <w:pStyle w:val="GvdeMetni"/>
        <w:ind w:left="0" w:firstLine="0"/>
        <w:rPr>
          <w:sz w:val="26"/>
        </w:rPr>
      </w:pPr>
    </w:p>
    <w:p w14:paraId="38567206" w14:textId="77777777" w:rsidR="00A8396F" w:rsidRDefault="008E25F3" w:rsidP="00296653">
      <w:pPr>
        <w:pStyle w:val="Balk1"/>
        <w:spacing w:before="217"/>
        <w:jc w:val="center"/>
      </w:pPr>
      <w:r>
        <w:t>Obligations of the University</w:t>
      </w:r>
    </w:p>
    <w:p w14:paraId="676120BA" w14:textId="48D06BED" w:rsidR="00A8396F" w:rsidRDefault="008E25F3" w:rsidP="00296653">
      <w:pPr>
        <w:pStyle w:val="GvdeMetni"/>
        <w:spacing w:before="69"/>
      </w:pPr>
      <w:r>
        <w:rPr>
          <w:b/>
        </w:rPr>
        <w:t xml:space="preserve">ARTICLE 6-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14316387" w14:textId="3C0965D7" w:rsidR="00A8396F" w:rsidRDefault="00E22189">
      <w:pPr>
        <w:pStyle w:val="P68B1DB1-ListeParagraf3"/>
        <w:numPr>
          <w:ilvl w:val="0"/>
          <w:numId w:val="2"/>
        </w:numPr>
        <w:tabs>
          <w:tab w:val="left" w:pos="1509"/>
        </w:tabs>
        <w:spacing w:before="76" w:line="302" w:lineRule="auto"/>
        <w:ind w:right="121" w:firstLine="698"/>
        <w:jc w:val="both"/>
      </w:pPr>
      <w:r>
        <w:t>"</w:t>
      </w:r>
      <w:proofErr w:type="spellStart"/>
      <w:r w:rsidR="008E25F3">
        <w:t>Istanbul</w:t>
      </w:r>
      <w:proofErr w:type="spellEnd"/>
      <w:r w:rsidR="008E25F3">
        <w:t xml:space="preserve"> </w:t>
      </w:r>
      <w:proofErr w:type="spellStart"/>
      <w:r w:rsidR="008E25F3">
        <w:t>Medipol</w:t>
      </w:r>
      <w:proofErr w:type="spellEnd"/>
      <w:r w:rsidR="008E25F3">
        <w:t xml:space="preserve"> </w:t>
      </w:r>
      <w:proofErr w:type="spellStart"/>
      <w:r w:rsidR="008E25F3">
        <w:t>UniversityGuest</w:t>
      </w:r>
      <w:proofErr w:type="spellEnd"/>
      <w:r w:rsidR="008E25F3">
        <w:t xml:space="preserve"> </w:t>
      </w:r>
      <w:proofErr w:type="spellStart"/>
      <w:r w:rsidR="008E25F3">
        <w:t>Researcher</w:t>
      </w:r>
      <w:proofErr w:type="spellEnd"/>
      <w:r w:rsidR="008E25F3">
        <w:t xml:space="preserve"> Identity </w:t>
      </w:r>
      <w:proofErr w:type="spellStart"/>
      <w:r w:rsidR="008E25F3">
        <w:t>Card</w:t>
      </w:r>
      <w:proofErr w:type="spellEnd"/>
      <w:r>
        <w:t>"</w:t>
      </w:r>
      <w:r w:rsidR="008E25F3">
        <w:t xml:space="preserve"> is </w:t>
      </w:r>
      <w:proofErr w:type="spellStart"/>
      <w:r w:rsidR="008E25F3">
        <w:t>given</w:t>
      </w:r>
      <w:proofErr w:type="spellEnd"/>
      <w:r w:rsidR="008E25F3">
        <w:t xml:space="preserve"> </w:t>
      </w:r>
      <w:proofErr w:type="spellStart"/>
      <w:r w:rsidR="008E25F3">
        <w:t>to</w:t>
      </w:r>
      <w:proofErr w:type="spellEnd"/>
      <w:r w:rsidR="008E25F3">
        <w:t xml:space="preserve"> </w:t>
      </w:r>
      <w:proofErr w:type="spellStart"/>
      <w:r w:rsidR="008E25F3">
        <w:t>guest</w:t>
      </w:r>
      <w:proofErr w:type="spellEnd"/>
      <w:r w:rsidR="008E25F3">
        <w:t xml:space="preserve"> </w:t>
      </w:r>
      <w:proofErr w:type="spellStart"/>
      <w:r w:rsidR="008E25F3">
        <w:t>researchers</w:t>
      </w:r>
      <w:proofErr w:type="spellEnd"/>
      <w:r w:rsidR="008E25F3">
        <w:t xml:space="preserve"> </w:t>
      </w:r>
      <w:proofErr w:type="spellStart"/>
      <w:r w:rsidR="008E25F3">
        <w:t>by</w:t>
      </w:r>
      <w:proofErr w:type="spellEnd"/>
      <w:r w:rsidR="008E25F3">
        <w:t xml:space="preserve"> </w:t>
      </w:r>
      <w:proofErr w:type="spellStart"/>
      <w:r w:rsidR="008E25F3">
        <w:t>Istanbul</w:t>
      </w:r>
      <w:proofErr w:type="spellEnd"/>
      <w:r w:rsidR="008E25F3">
        <w:t xml:space="preserve"> </w:t>
      </w:r>
      <w:proofErr w:type="spellStart"/>
      <w:r w:rsidR="008E25F3">
        <w:t>Medipol</w:t>
      </w:r>
      <w:proofErr w:type="spellEnd"/>
      <w:r w:rsidR="008E25F3">
        <w:t xml:space="preserve"> </w:t>
      </w:r>
      <w:proofErr w:type="spellStart"/>
      <w:r w:rsidR="008E25F3">
        <w:t>UniversitySupport</w:t>
      </w:r>
      <w:proofErr w:type="spellEnd"/>
      <w:r w:rsidR="008E25F3">
        <w:t xml:space="preserve"> Services </w:t>
      </w:r>
      <w:proofErr w:type="spellStart"/>
      <w:r w:rsidR="008E25F3">
        <w:t>Department</w:t>
      </w:r>
      <w:proofErr w:type="spellEnd"/>
      <w:r w:rsidR="008E25F3">
        <w:t>.</w:t>
      </w:r>
    </w:p>
    <w:p w14:paraId="45C3F15B" w14:textId="77777777" w:rsidR="00A8396F" w:rsidRDefault="008E25F3">
      <w:pPr>
        <w:pStyle w:val="P68B1DB1-ListeParagraf3"/>
        <w:numPr>
          <w:ilvl w:val="0"/>
          <w:numId w:val="2"/>
        </w:numPr>
        <w:tabs>
          <w:tab w:val="left" w:pos="1509"/>
        </w:tabs>
        <w:spacing w:line="302" w:lineRule="auto"/>
        <w:ind w:right="118" w:firstLine="698"/>
        <w:jc w:val="both"/>
      </w:pPr>
      <w:r>
        <w:t>Visiting researchers benefit from the library, dining and service facilities provided to the University academic staff.</w:t>
      </w:r>
    </w:p>
    <w:p w14:paraId="090F1C8F" w14:textId="163BCFCA" w:rsidR="00A8396F" w:rsidRDefault="008E25F3">
      <w:pPr>
        <w:pStyle w:val="P68B1DB1-ListeParagraf3"/>
        <w:numPr>
          <w:ilvl w:val="0"/>
          <w:numId w:val="2"/>
        </w:numPr>
        <w:tabs>
          <w:tab w:val="left" w:pos="1509"/>
        </w:tabs>
        <w:spacing w:before="7" w:line="302" w:lineRule="auto"/>
        <w:ind w:firstLine="698"/>
        <w:jc w:val="both"/>
      </w:pPr>
      <w:r>
        <w:t xml:space="preserve">Visiting </w:t>
      </w:r>
      <w:proofErr w:type="spellStart"/>
      <w:r>
        <w:t>researchers</w:t>
      </w:r>
      <w:proofErr w:type="spellEnd"/>
      <w:r>
        <w:t xml:space="preserve"> can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offices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supervisors</w:t>
      </w:r>
      <w:proofErr w:type="spellEnd"/>
      <w:r>
        <w:t>.</w:t>
      </w:r>
    </w:p>
    <w:p w14:paraId="23C74E07" w14:textId="77777777" w:rsidR="00A8396F" w:rsidRDefault="008E25F3">
      <w:pPr>
        <w:pStyle w:val="P68B1DB1-ListeParagraf3"/>
        <w:numPr>
          <w:ilvl w:val="0"/>
          <w:numId w:val="2"/>
        </w:numPr>
        <w:tabs>
          <w:tab w:val="left" w:pos="1509"/>
        </w:tabs>
        <w:spacing w:line="302" w:lineRule="auto"/>
        <w:ind w:firstLine="698"/>
        <w:jc w:val="both"/>
      </w:pPr>
      <w:r>
        <w:t>If deemed appropriate, the University may provide in-kind or cash support to visiting researchers.</w:t>
      </w:r>
    </w:p>
    <w:p w14:paraId="30091F3C" w14:textId="77777777" w:rsidR="00A8396F" w:rsidRDefault="008E25F3">
      <w:pPr>
        <w:pStyle w:val="P68B1DB1-ListeParagraf3"/>
        <w:numPr>
          <w:ilvl w:val="0"/>
          <w:numId w:val="2"/>
        </w:numPr>
        <w:tabs>
          <w:tab w:val="left" w:pos="1509"/>
        </w:tabs>
        <w:spacing w:before="8" w:line="302" w:lineRule="auto"/>
        <w:ind w:right="119" w:firstLine="698"/>
        <w:jc w:val="both"/>
      </w:pPr>
      <w:r>
        <w:t>In case the visiting researchers do not have health insurance, the University may carry out insurance transactions.</w:t>
      </w:r>
    </w:p>
    <w:p w14:paraId="69001F94" w14:textId="6C9E17D6" w:rsidR="00A8396F" w:rsidRDefault="008E25F3">
      <w:pPr>
        <w:pStyle w:val="P68B1DB1-ListeParagraf3"/>
        <w:numPr>
          <w:ilvl w:val="0"/>
          <w:numId w:val="2"/>
        </w:numPr>
        <w:tabs>
          <w:tab w:val="left" w:pos="1509"/>
        </w:tabs>
        <w:spacing w:line="302" w:lineRule="auto"/>
        <w:ind w:right="119" w:firstLine="698"/>
        <w:jc w:val="both"/>
      </w:pPr>
      <w:r>
        <w:t xml:space="preserve">The head of the unit where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 w:rsidR="00E22189">
        <w:t>outlined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take his written commitment.</w:t>
      </w:r>
    </w:p>
    <w:p w14:paraId="44C8685A" w14:textId="77777777" w:rsidR="00A8396F" w:rsidRDefault="00A8396F">
      <w:pPr>
        <w:pStyle w:val="GvdeMetni"/>
        <w:spacing w:before="8"/>
        <w:ind w:left="0" w:firstLine="0"/>
        <w:rPr>
          <w:sz w:val="32"/>
        </w:rPr>
      </w:pPr>
    </w:p>
    <w:p w14:paraId="7ACE2A20" w14:textId="3CCF4B54" w:rsidR="00D923DD" w:rsidRDefault="00296653">
      <w:pPr>
        <w:pStyle w:val="Balk1"/>
        <w:spacing w:before="1"/>
        <w:ind w:left="226" w:right="420"/>
        <w:jc w:val="center"/>
      </w:pPr>
      <w:r>
        <w:t xml:space="preserve">THIRD </w:t>
      </w:r>
      <w:r w:rsidR="008E25F3">
        <w:t>SECTION</w:t>
      </w:r>
    </w:p>
    <w:p w14:paraId="3D889B41" w14:textId="77777777" w:rsidR="00D923DD" w:rsidRDefault="00D923DD">
      <w:pPr>
        <w:pStyle w:val="Balk1"/>
        <w:spacing w:before="1"/>
        <w:ind w:left="226" w:right="420"/>
        <w:jc w:val="center"/>
      </w:pPr>
    </w:p>
    <w:p w14:paraId="57581AA3" w14:textId="40ACBAD7" w:rsidR="00A8396F" w:rsidRDefault="008E25F3">
      <w:pPr>
        <w:pStyle w:val="Balk1"/>
        <w:spacing w:before="1"/>
        <w:ind w:left="226" w:right="420"/>
        <w:jc w:val="center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Procedures</w:t>
      </w:r>
      <w:proofErr w:type="spellEnd"/>
    </w:p>
    <w:p w14:paraId="6A02C62A" w14:textId="77777777" w:rsidR="00A8396F" w:rsidRDefault="00A8396F">
      <w:pPr>
        <w:pStyle w:val="GvdeMetni"/>
        <w:spacing w:before="2"/>
        <w:ind w:left="0" w:firstLine="0"/>
        <w:rPr>
          <w:b/>
          <w:sz w:val="33"/>
        </w:rPr>
      </w:pPr>
    </w:p>
    <w:p w14:paraId="07792921" w14:textId="384F8B29" w:rsidR="00A8396F" w:rsidRDefault="008E25F3">
      <w:pPr>
        <w:pStyle w:val="GvdeMetni"/>
        <w:spacing w:line="304" w:lineRule="auto"/>
        <w:ind w:right="119"/>
        <w:jc w:val="both"/>
      </w:pPr>
      <w:r>
        <w:rPr>
          <w:b/>
        </w:rPr>
        <w:t xml:space="preserve">ARTICLE 7- </w:t>
      </w:r>
      <w:r>
        <w:t xml:space="preserve">(1)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researcher</w:t>
      </w:r>
      <w:r w:rsidR="00E22189">
        <w:t>s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 w:rsidR="00E22189">
        <w:t>Rectorate</w:t>
      </w:r>
      <w:proofErr w:type="spellEnd"/>
      <w:r w:rsidR="00E22189">
        <w:t xml:space="preserve"> </w:t>
      </w:r>
      <w:proofErr w:type="spellStart"/>
      <w:r w:rsidR="00E22189">
        <w:t>finalizes</w:t>
      </w:r>
      <w:proofErr w:type="spellEnd"/>
      <w:r w:rsidR="00E22189">
        <w:t xml:space="preserve"> </w:t>
      </w:r>
      <w:proofErr w:type="spellStart"/>
      <w:r w:rsidR="00E22189">
        <w:t>the</w:t>
      </w:r>
      <w:proofErr w:type="spellEnd"/>
      <w:r w:rsidR="00E22189">
        <w:t xml:space="preserve"> </w:t>
      </w:r>
      <w:proofErr w:type="spellStart"/>
      <w:r w:rsidR="00E22189">
        <w:t>application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the unit and several supervisors.</w:t>
      </w:r>
    </w:p>
    <w:p w14:paraId="4E2B91BB" w14:textId="77777777" w:rsidR="00A8396F" w:rsidRDefault="008E25F3">
      <w:pPr>
        <w:pStyle w:val="P68B1DB1-ListeParagraf3"/>
        <w:numPr>
          <w:ilvl w:val="0"/>
          <w:numId w:val="1"/>
        </w:numPr>
        <w:tabs>
          <w:tab w:val="left" w:pos="1509"/>
        </w:tabs>
        <w:spacing w:before="2" w:line="302" w:lineRule="auto"/>
        <w:ind w:right="116" w:firstLine="698"/>
        <w:jc w:val="both"/>
      </w:pPr>
      <w:r>
        <w:t>University faculty members or units may request an invited researcher.</w:t>
      </w:r>
    </w:p>
    <w:p w14:paraId="78829C5B" w14:textId="77777777" w:rsidR="00A8396F" w:rsidRDefault="008E25F3">
      <w:pPr>
        <w:pStyle w:val="P68B1DB1-ListeParagraf3"/>
        <w:numPr>
          <w:ilvl w:val="0"/>
          <w:numId w:val="1"/>
        </w:numPr>
        <w:tabs>
          <w:tab w:val="left" w:pos="1509"/>
        </w:tabs>
        <w:spacing w:before="7" w:line="302" w:lineRule="auto"/>
        <w:ind w:right="114" w:firstLine="698"/>
        <w:jc w:val="both"/>
      </w:pPr>
      <w:r>
        <w:t>During the application, guest researcher candidates fill in the Annex-1 (commitment note), Annex-2 (Guest Researcher Information Form), Annex-3 (Business Plan) annexes of this instruction in Turkish or English and submit them to the relevant unit.</w:t>
      </w:r>
    </w:p>
    <w:p w14:paraId="45B53EB4" w14:textId="6774AB5D" w:rsidR="00A8396F" w:rsidRDefault="008E25F3">
      <w:pPr>
        <w:pStyle w:val="P68B1DB1-ListeParagraf3"/>
        <w:numPr>
          <w:ilvl w:val="0"/>
          <w:numId w:val="1"/>
        </w:numPr>
        <w:tabs>
          <w:tab w:val="left" w:pos="1509"/>
        </w:tabs>
        <w:spacing w:before="7" w:line="302" w:lineRule="auto"/>
        <w:ind w:right="116" w:firstLine="698"/>
        <w:jc w:val="both"/>
      </w:pPr>
      <w:r>
        <w:t xml:space="preserve">An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22189">
        <w:t>u</w:t>
      </w:r>
      <w:r>
        <w:t>niversity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for visiting researchers. The advisor is determined by the proposal of the relevant unit and the approval of the rectorate.</w:t>
      </w:r>
    </w:p>
    <w:p w14:paraId="55334BBE" w14:textId="77777777" w:rsidR="00A8396F" w:rsidRDefault="008E25F3">
      <w:pPr>
        <w:pStyle w:val="P68B1DB1-ListeParagraf3"/>
        <w:numPr>
          <w:ilvl w:val="0"/>
          <w:numId w:val="1"/>
        </w:numPr>
        <w:tabs>
          <w:tab w:val="left" w:pos="1509"/>
        </w:tabs>
        <w:spacing w:before="4" w:line="302" w:lineRule="auto"/>
        <w:ind w:firstLine="698"/>
        <w:jc w:val="both"/>
      </w:pPr>
      <w:r>
        <w:t>In case the guest researcher candidate is the permanent staff of another institution, the consent of the institution is obtained.</w:t>
      </w:r>
    </w:p>
    <w:p w14:paraId="2BED9563" w14:textId="77777777" w:rsidR="00A8396F" w:rsidRDefault="00A8396F">
      <w:pPr>
        <w:pStyle w:val="GvdeMetni"/>
        <w:spacing w:before="8"/>
        <w:ind w:left="0" w:firstLine="0"/>
        <w:rPr>
          <w:sz w:val="32"/>
        </w:rPr>
      </w:pPr>
    </w:p>
    <w:p w14:paraId="4F44B582" w14:textId="7789AB61" w:rsidR="00D923DD" w:rsidRDefault="008E25F3">
      <w:pPr>
        <w:pStyle w:val="Balk1"/>
        <w:ind w:left="242" w:right="420"/>
        <w:jc w:val="center"/>
      </w:pPr>
      <w:r>
        <w:t>FOU</w:t>
      </w:r>
      <w:r w:rsidR="00296653">
        <w:t>R</w:t>
      </w:r>
      <w:r w:rsidR="00D923DD">
        <w:t>TH SECTION</w:t>
      </w:r>
    </w:p>
    <w:p w14:paraId="5488B6E1" w14:textId="19F41B8A" w:rsidR="00A8396F" w:rsidRDefault="008E25F3" w:rsidP="00296653">
      <w:pPr>
        <w:pStyle w:val="Balk1"/>
        <w:ind w:left="242" w:right="420"/>
        <w:jc w:val="center"/>
      </w:pPr>
      <w:proofErr w:type="spellStart"/>
      <w:r>
        <w:t>Miscellaneous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Final </w:t>
      </w:r>
      <w:proofErr w:type="spellStart"/>
      <w:r>
        <w:t>Provisions</w:t>
      </w:r>
      <w:proofErr w:type="spellEnd"/>
    </w:p>
    <w:p w14:paraId="1BDCAD42" w14:textId="77777777" w:rsidR="00A8396F" w:rsidRDefault="00A8396F">
      <w:pPr>
        <w:pStyle w:val="GvdeMetni"/>
        <w:spacing w:before="8"/>
        <w:ind w:left="0" w:firstLine="0"/>
        <w:rPr>
          <w:b/>
          <w:sz w:val="32"/>
        </w:rPr>
      </w:pPr>
    </w:p>
    <w:p w14:paraId="7BEF7671" w14:textId="77777777" w:rsidR="00A8396F" w:rsidRDefault="008E25F3">
      <w:pPr>
        <w:pStyle w:val="GvdeMetni"/>
        <w:spacing w:line="300" w:lineRule="auto"/>
        <w:ind w:right="123"/>
        <w:jc w:val="both"/>
      </w:pPr>
      <w:r>
        <w:rPr>
          <w:b/>
        </w:rPr>
        <w:t xml:space="preserve">ARTICLE 8- </w:t>
      </w:r>
      <w:r>
        <w:t>Provisions of the relevant legislation are applied for visiting researchers coming within the framework of national and international exchange programs.</w:t>
      </w:r>
    </w:p>
    <w:p w14:paraId="2C9FD978" w14:textId="77777777" w:rsidR="00A8396F" w:rsidRDefault="008E25F3">
      <w:pPr>
        <w:pStyle w:val="GvdeMetni"/>
        <w:spacing w:before="10"/>
        <w:ind w:left="800" w:firstLine="0"/>
      </w:pPr>
      <w:r>
        <w:rPr>
          <w:b/>
        </w:rPr>
        <w:t xml:space="preserve">ARTICLE 9- </w:t>
      </w:r>
      <w:r>
        <w:t>The annexes of this instruction are part of the instruction.</w:t>
      </w:r>
    </w:p>
    <w:p w14:paraId="0B66935C" w14:textId="3C6F02A7" w:rsidR="00A8396F" w:rsidRDefault="008E25F3">
      <w:pPr>
        <w:pStyle w:val="GvdeMetni"/>
        <w:spacing w:before="77" w:line="302" w:lineRule="auto"/>
        <w:ind w:right="119"/>
        <w:jc w:val="both"/>
      </w:pPr>
      <w:r>
        <w:rPr>
          <w:b/>
        </w:rPr>
        <w:lastRenderedPageBreak/>
        <w:t xml:space="preserve">ARTICLE 10-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E22189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22189">
        <w:t>provision</w:t>
      </w:r>
      <w:r>
        <w:t>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>.</w:t>
      </w:r>
    </w:p>
    <w:p w14:paraId="792FDDD3" w14:textId="77777777" w:rsidR="00A8396F" w:rsidRDefault="00A8396F">
      <w:pPr>
        <w:spacing w:line="302" w:lineRule="auto"/>
        <w:jc w:val="both"/>
        <w:sectPr w:rsidR="00A8396F">
          <w:pgSz w:w="11910" w:h="16840"/>
          <w:pgMar w:top="620" w:right="1520" w:bottom="280" w:left="1660" w:header="708" w:footer="708" w:gutter="0"/>
          <w:cols w:space="708"/>
        </w:sectPr>
      </w:pPr>
    </w:p>
    <w:p w14:paraId="3C5DEAB4" w14:textId="7780AE95" w:rsidR="00A8396F" w:rsidRDefault="008E25F3">
      <w:pPr>
        <w:pStyle w:val="GvdeMetni"/>
        <w:spacing w:before="76" w:line="300" w:lineRule="auto"/>
      </w:pPr>
      <w:r>
        <w:rPr>
          <w:b/>
        </w:rPr>
        <w:lastRenderedPageBreak/>
        <w:t xml:space="preserve">ARTICLE 11-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D923DD"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1EB67E32" w14:textId="78A2F659" w:rsidR="00296653" w:rsidRDefault="00296653" w:rsidP="00296653">
      <w:pPr>
        <w:pStyle w:val="GvdeMetni"/>
        <w:spacing w:before="76" w:line="300" w:lineRule="auto"/>
        <w:jc w:val="center"/>
      </w:pPr>
      <w:proofErr w:type="spellStart"/>
      <w:r>
        <w:rPr>
          <w:b/>
        </w:rPr>
        <w:t>Execution</w:t>
      </w:r>
      <w:proofErr w:type="spellEnd"/>
    </w:p>
    <w:p w14:paraId="7A01C963" w14:textId="0F7F52B6" w:rsidR="00A8396F" w:rsidRDefault="008E25F3">
      <w:pPr>
        <w:pStyle w:val="GvdeMetni"/>
        <w:spacing w:before="11" w:line="302" w:lineRule="auto"/>
      </w:pPr>
      <w:r>
        <w:rPr>
          <w:b/>
        </w:rPr>
        <w:t xml:space="preserve">ARTICLE 12-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3197DE8A" w14:textId="77777777" w:rsidR="00A8396F" w:rsidRDefault="008E25F3">
      <w:pPr>
        <w:pStyle w:val="GvdeMetni"/>
        <w:spacing w:before="8" w:line="300" w:lineRule="auto"/>
        <w:ind w:right="36" w:firstLine="0"/>
      </w:pPr>
      <w:r>
        <w:t>*Adopted by the University Senate's decision dated 21/05/2021 and numbered 2021/07-02-04.</w:t>
      </w:r>
    </w:p>
    <w:sectPr w:rsidR="00A8396F">
      <w:pgSz w:w="11910" w:h="16840"/>
      <w:pgMar w:top="620" w:right="152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46A"/>
    <w:multiLevelType w:val="hybridMultilevel"/>
    <w:tmpl w:val="04D25F3C"/>
    <w:lvl w:ilvl="0" w:tplc="091CF710">
      <w:start w:val="1"/>
      <w:numFmt w:val="decimal"/>
      <w:lvlText w:val="(%1)"/>
      <w:lvlJc w:val="left"/>
      <w:pPr>
        <w:ind w:left="102" w:hanging="7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B8448D36">
      <w:numFmt w:val="bullet"/>
      <w:lvlText w:val="•"/>
      <w:lvlJc w:val="left"/>
      <w:pPr>
        <w:ind w:left="962" w:hanging="709"/>
      </w:pPr>
      <w:rPr>
        <w:rFonts w:hint="default"/>
      </w:rPr>
    </w:lvl>
    <w:lvl w:ilvl="2" w:tplc="D1425B3C">
      <w:numFmt w:val="bullet"/>
      <w:lvlText w:val="•"/>
      <w:lvlJc w:val="left"/>
      <w:pPr>
        <w:ind w:left="1824" w:hanging="709"/>
      </w:pPr>
      <w:rPr>
        <w:rFonts w:hint="default"/>
      </w:rPr>
    </w:lvl>
    <w:lvl w:ilvl="3" w:tplc="85E63322">
      <w:numFmt w:val="bullet"/>
      <w:lvlText w:val="•"/>
      <w:lvlJc w:val="left"/>
      <w:pPr>
        <w:ind w:left="2687" w:hanging="709"/>
      </w:pPr>
      <w:rPr>
        <w:rFonts w:hint="default"/>
      </w:rPr>
    </w:lvl>
    <w:lvl w:ilvl="4" w:tplc="1C262800">
      <w:numFmt w:val="bullet"/>
      <w:lvlText w:val="•"/>
      <w:lvlJc w:val="left"/>
      <w:pPr>
        <w:ind w:left="3549" w:hanging="709"/>
      </w:pPr>
      <w:rPr>
        <w:rFonts w:hint="default"/>
      </w:rPr>
    </w:lvl>
    <w:lvl w:ilvl="5" w:tplc="0B24A35E">
      <w:numFmt w:val="bullet"/>
      <w:lvlText w:val="•"/>
      <w:lvlJc w:val="left"/>
      <w:pPr>
        <w:ind w:left="4412" w:hanging="709"/>
      </w:pPr>
      <w:rPr>
        <w:rFonts w:hint="default"/>
      </w:rPr>
    </w:lvl>
    <w:lvl w:ilvl="6" w:tplc="F5A68BEC">
      <w:numFmt w:val="bullet"/>
      <w:lvlText w:val="•"/>
      <w:lvlJc w:val="left"/>
      <w:pPr>
        <w:ind w:left="5274" w:hanging="709"/>
      </w:pPr>
      <w:rPr>
        <w:rFonts w:hint="default"/>
      </w:rPr>
    </w:lvl>
    <w:lvl w:ilvl="7" w:tplc="688C5450">
      <w:numFmt w:val="bullet"/>
      <w:lvlText w:val="•"/>
      <w:lvlJc w:val="left"/>
      <w:pPr>
        <w:ind w:left="6136" w:hanging="709"/>
      </w:pPr>
      <w:rPr>
        <w:rFonts w:hint="default"/>
      </w:rPr>
    </w:lvl>
    <w:lvl w:ilvl="8" w:tplc="10668256">
      <w:numFmt w:val="bullet"/>
      <w:lvlText w:val="•"/>
      <w:lvlJc w:val="left"/>
      <w:pPr>
        <w:ind w:left="6999" w:hanging="709"/>
      </w:pPr>
      <w:rPr>
        <w:rFonts w:hint="default"/>
      </w:rPr>
    </w:lvl>
  </w:abstractNum>
  <w:abstractNum w:abstractNumId="1" w15:restartNumberingAfterBreak="0">
    <w:nsid w:val="165902E9"/>
    <w:multiLevelType w:val="hybridMultilevel"/>
    <w:tmpl w:val="A7D085B6"/>
    <w:lvl w:ilvl="0" w:tplc="0DAA938C">
      <w:start w:val="2"/>
      <w:numFmt w:val="decimal"/>
      <w:lvlText w:val="(%1)"/>
      <w:lvlJc w:val="left"/>
      <w:pPr>
        <w:ind w:left="102" w:hanging="709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0E44BF04">
      <w:numFmt w:val="bullet"/>
      <w:lvlText w:val="•"/>
      <w:lvlJc w:val="left"/>
      <w:pPr>
        <w:ind w:left="962" w:hanging="709"/>
      </w:pPr>
      <w:rPr>
        <w:rFonts w:hint="default"/>
      </w:rPr>
    </w:lvl>
    <w:lvl w:ilvl="2" w:tplc="6C30F0B6">
      <w:numFmt w:val="bullet"/>
      <w:lvlText w:val="•"/>
      <w:lvlJc w:val="left"/>
      <w:pPr>
        <w:ind w:left="1824" w:hanging="709"/>
      </w:pPr>
      <w:rPr>
        <w:rFonts w:hint="default"/>
      </w:rPr>
    </w:lvl>
    <w:lvl w:ilvl="3" w:tplc="12964846">
      <w:numFmt w:val="bullet"/>
      <w:lvlText w:val="•"/>
      <w:lvlJc w:val="left"/>
      <w:pPr>
        <w:ind w:left="2687" w:hanging="709"/>
      </w:pPr>
      <w:rPr>
        <w:rFonts w:hint="default"/>
      </w:rPr>
    </w:lvl>
    <w:lvl w:ilvl="4" w:tplc="FF1452C0">
      <w:numFmt w:val="bullet"/>
      <w:lvlText w:val="•"/>
      <w:lvlJc w:val="left"/>
      <w:pPr>
        <w:ind w:left="3549" w:hanging="709"/>
      </w:pPr>
      <w:rPr>
        <w:rFonts w:hint="default"/>
      </w:rPr>
    </w:lvl>
    <w:lvl w:ilvl="5" w:tplc="22601E54">
      <w:numFmt w:val="bullet"/>
      <w:lvlText w:val="•"/>
      <w:lvlJc w:val="left"/>
      <w:pPr>
        <w:ind w:left="4412" w:hanging="709"/>
      </w:pPr>
      <w:rPr>
        <w:rFonts w:hint="default"/>
      </w:rPr>
    </w:lvl>
    <w:lvl w:ilvl="6" w:tplc="F9943FEE">
      <w:numFmt w:val="bullet"/>
      <w:lvlText w:val="•"/>
      <w:lvlJc w:val="left"/>
      <w:pPr>
        <w:ind w:left="5274" w:hanging="709"/>
      </w:pPr>
      <w:rPr>
        <w:rFonts w:hint="default"/>
      </w:rPr>
    </w:lvl>
    <w:lvl w:ilvl="7" w:tplc="16541AE4">
      <w:numFmt w:val="bullet"/>
      <w:lvlText w:val="•"/>
      <w:lvlJc w:val="left"/>
      <w:pPr>
        <w:ind w:left="6136" w:hanging="709"/>
      </w:pPr>
      <w:rPr>
        <w:rFonts w:hint="default"/>
      </w:rPr>
    </w:lvl>
    <w:lvl w:ilvl="8" w:tplc="DB92EE5E">
      <w:numFmt w:val="bullet"/>
      <w:lvlText w:val="•"/>
      <w:lvlJc w:val="left"/>
      <w:pPr>
        <w:ind w:left="6999" w:hanging="709"/>
      </w:pPr>
      <w:rPr>
        <w:rFonts w:hint="default"/>
      </w:rPr>
    </w:lvl>
  </w:abstractNum>
  <w:abstractNum w:abstractNumId="2" w15:restartNumberingAfterBreak="0">
    <w:nsid w:val="5F1A2D41"/>
    <w:multiLevelType w:val="hybridMultilevel"/>
    <w:tmpl w:val="8F10F78C"/>
    <w:lvl w:ilvl="0" w:tplc="7CBCDF9C">
      <w:start w:val="1"/>
      <w:numFmt w:val="decimal"/>
      <w:lvlText w:val="(%1)"/>
      <w:lvlJc w:val="left"/>
      <w:pPr>
        <w:ind w:left="102" w:hanging="70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1C6CDC6">
      <w:numFmt w:val="bullet"/>
      <w:lvlText w:val="•"/>
      <w:lvlJc w:val="left"/>
      <w:pPr>
        <w:ind w:left="962" w:hanging="709"/>
      </w:pPr>
      <w:rPr>
        <w:rFonts w:hint="default"/>
      </w:rPr>
    </w:lvl>
    <w:lvl w:ilvl="2" w:tplc="CDC81220">
      <w:numFmt w:val="bullet"/>
      <w:lvlText w:val="•"/>
      <w:lvlJc w:val="left"/>
      <w:pPr>
        <w:ind w:left="1824" w:hanging="709"/>
      </w:pPr>
      <w:rPr>
        <w:rFonts w:hint="default"/>
      </w:rPr>
    </w:lvl>
    <w:lvl w:ilvl="3" w:tplc="C928A74E">
      <w:numFmt w:val="bullet"/>
      <w:lvlText w:val="•"/>
      <w:lvlJc w:val="left"/>
      <w:pPr>
        <w:ind w:left="2687" w:hanging="709"/>
      </w:pPr>
      <w:rPr>
        <w:rFonts w:hint="default"/>
      </w:rPr>
    </w:lvl>
    <w:lvl w:ilvl="4" w:tplc="FC6AF5DA">
      <w:numFmt w:val="bullet"/>
      <w:lvlText w:val="•"/>
      <w:lvlJc w:val="left"/>
      <w:pPr>
        <w:ind w:left="3549" w:hanging="709"/>
      </w:pPr>
      <w:rPr>
        <w:rFonts w:hint="default"/>
      </w:rPr>
    </w:lvl>
    <w:lvl w:ilvl="5" w:tplc="40C2D462">
      <w:numFmt w:val="bullet"/>
      <w:lvlText w:val="•"/>
      <w:lvlJc w:val="left"/>
      <w:pPr>
        <w:ind w:left="4412" w:hanging="709"/>
      </w:pPr>
      <w:rPr>
        <w:rFonts w:hint="default"/>
      </w:rPr>
    </w:lvl>
    <w:lvl w:ilvl="6" w:tplc="2EA24492">
      <w:numFmt w:val="bullet"/>
      <w:lvlText w:val="•"/>
      <w:lvlJc w:val="left"/>
      <w:pPr>
        <w:ind w:left="5274" w:hanging="709"/>
      </w:pPr>
      <w:rPr>
        <w:rFonts w:hint="default"/>
      </w:rPr>
    </w:lvl>
    <w:lvl w:ilvl="7" w:tplc="0F069FE0">
      <w:numFmt w:val="bullet"/>
      <w:lvlText w:val="•"/>
      <w:lvlJc w:val="left"/>
      <w:pPr>
        <w:ind w:left="6136" w:hanging="709"/>
      </w:pPr>
      <w:rPr>
        <w:rFonts w:hint="default"/>
      </w:rPr>
    </w:lvl>
    <w:lvl w:ilvl="8" w:tplc="D2AEDE12">
      <w:numFmt w:val="bullet"/>
      <w:lvlText w:val="•"/>
      <w:lvlJc w:val="left"/>
      <w:pPr>
        <w:ind w:left="6999" w:hanging="709"/>
      </w:pPr>
      <w:rPr>
        <w:rFonts w:hint="default"/>
      </w:rPr>
    </w:lvl>
  </w:abstractNum>
  <w:abstractNum w:abstractNumId="3" w15:restartNumberingAfterBreak="0">
    <w:nsid w:val="6A1F055C"/>
    <w:multiLevelType w:val="hybridMultilevel"/>
    <w:tmpl w:val="7102DBFC"/>
    <w:lvl w:ilvl="0" w:tplc="07665792">
      <w:start w:val="1"/>
      <w:numFmt w:val="lowerLetter"/>
      <w:lvlText w:val="%1)"/>
      <w:lvlJc w:val="left"/>
      <w:pPr>
        <w:ind w:left="826" w:hanging="69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E123110">
      <w:numFmt w:val="bullet"/>
      <w:lvlText w:val="•"/>
      <w:lvlJc w:val="left"/>
      <w:pPr>
        <w:ind w:left="1610" w:hanging="692"/>
      </w:pPr>
      <w:rPr>
        <w:rFonts w:hint="default"/>
      </w:rPr>
    </w:lvl>
    <w:lvl w:ilvl="2" w:tplc="81343D52">
      <w:numFmt w:val="bullet"/>
      <w:lvlText w:val="•"/>
      <w:lvlJc w:val="left"/>
      <w:pPr>
        <w:ind w:left="2400" w:hanging="692"/>
      </w:pPr>
      <w:rPr>
        <w:rFonts w:hint="default"/>
      </w:rPr>
    </w:lvl>
    <w:lvl w:ilvl="3" w:tplc="E06C26AC">
      <w:numFmt w:val="bullet"/>
      <w:lvlText w:val="•"/>
      <w:lvlJc w:val="left"/>
      <w:pPr>
        <w:ind w:left="3191" w:hanging="692"/>
      </w:pPr>
      <w:rPr>
        <w:rFonts w:hint="default"/>
      </w:rPr>
    </w:lvl>
    <w:lvl w:ilvl="4" w:tplc="D7E4E66A">
      <w:numFmt w:val="bullet"/>
      <w:lvlText w:val="•"/>
      <w:lvlJc w:val="left"/>
      <w:pPr>
        <w:ind w:left="3981" w:hanging="692"/>
      </w:pPr>
      <w:rPr>
        <w:rFonts w:hint="default"/>
      </w:rPr>
    </w:lvl>
    <w:lvl w:ilvl="5" w:tplc="21262B1C">
      <w:numFmt w:val="bullet"/>
      <w:lvlText w:val="•"/>
      <w:lvlJc w:val="left"/>
      <w:pPr>
        <w:ind w:left="4772" w:hanging="692"/>
      </w:pPr>
      <w:rPr>
        <w:rFonts w:hint="default"/>
      </w:rPr>
    </w:lvl>
    <w:lvl w:ilvl="6" w:tplc="1E167F8C">
      <w:numFmt w:val="bullet"/>
      <w:lvlText w:val="•"/>
      <w:lvlJc w:val="left"/>
      <w:pPr>
        <w:ind w:left="5562" w:hanging="692"/>
      </w:pPr>
      <w:rPr>
        <w:rFonts w:hint="default"/>
      </w:rPr>
    </w:lvl>
    <w:lvl w:ilvl="7" w:tplc="91A05330">
      <w:numFmt w:val="bullet"/>
      <w:lvlText w:val="•"/>
      <w:lvlJc w:val="left"/>
      <w:pPr>
        <w:ind w:left="6352" w:hanging="692"/>
      </w:pPr>
      <w:rPr>
        <w:rFonts w:hint="default"/>
      </w:rPr>
    </w:lvl>
    <w:lvl w:ilvl="8" w:tplc="DF544216">
      <w:numFmt w:val="bullet"/>
      <w:lvlText w:val="•"/>
      <w:lvlJc w:val="left"/>
      <w:pPr>
        <w:ind w:left="7143" w:hanging="69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DQzMDY3NjA0MTNT0lEKTi0uzszPAykwrgUAZJQaOSwAAAA="/>
  </w:docVars>
  <w:rsids>
    <w:rsidRoot w:val="00CB7D0A"/>
    <w:rsid w:val="000D14F6"/>
    <w:rsid w:val="00296653"/>
    <w:rsid w:val="003D0B31"/>
    <w:rsid w:val="00402153"/>
    <w:rsid w:val="00434840"/>
    <w:rsid w:val="007E75CE"/>
    <w:rsid w:val="0085418C"/>
    <w:rsid w:val="00877CAC"/>
    <w:rsid w:val="008E25F3"/>
    <w:rsid w:val="00A07821"/>
    <w:rsid w:val="00A8396F"/>
    <w:rsid w:val="00AF6ECE"/>
    <w:rsid w:val="00B774F4"/>
    <w:rsid w:val="00BD31AC"/>
    <w:rsid w:val="00CB7D0A"/>
    <w:rsid w:val="00D923DD"/>
    <w:rsid w:val="00E22189"/>
    <w:rsid w:val="00F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44EF"/>
  <w15:docId w15:val="{9BB4E500-522F-41FA-A468-76CCF51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786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2" w:firstLine="698"/>
    </w:pPr>
    <w:rPr>
      <w:sz w:val="24"/>
    </w:rPr>
  </w:style>
  <w:style w:type="paragraph" w:styleId="ListeParagraf">
    <w:name w:val="List Paragraph"/>
    <w:basedOn w:val="Normal"/>
    <w:uiPriority w:val="1"/>
    <w:qFormat/>
    <w:pPr>
      <w:spacing w:before="5"/>
      <w:ind w:left="102" w:right="120" w:firstLine="6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eParagraf3">
    <w:name w:val="P68B1DB1-ListeParagraf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A750-D4CD-4617-BF99-9D0648B7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Gürkan ÖZTÜRK</dc:creator>
  <cp:lastModifiedBy>Şebnem GÜNGÖR</cp:lastModifiedBy>
  <cp:revision>2</cp:revision>
  <dcterms:created xsi:type="dcterms:W3CDTF">2021-10-20T10:47:00Z</dcterms:created>
  <dcterms:modified xsi:type="dcterms:W3CDTF">2021-10-20T10:47:00Z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</Properties>
</file>