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04C4" w14:textId="07F5EA32" w:rsidR="005060DB" w:rsidRPr="00D91FD7" w:rsidRDefault="00FB65EC" w:rsidP="00D91FD7">
      <w:pPr>
        <w:pStyle w:val="Balk1"/>
        <w:spacing w:before="68" w:line="360" w:lineRule="auto"/>
        <w:ind w:left="206" w:right="206"/>
        <w:jc w:val="center"/>
      </w:pPr>
      <w:r>
        <w:t>T.C.</w:t>
      </w:r>
    </w:p>
    <w:p w14:paraId="5F8D04C6" w14:textId="091592E1" w:rsidR="005060DB" w:rsidRPr="00D91FD7" w:rsidRDefault="00FB65EC" w:rsidP="00D91FD7">
      <w:pPr>
        <w:pStyle w:val="P68B1DB1-Normal1"/>
        <w:spacing w:before="1" w:line="360" w:lineRule="auto"/>
        <w:ind w:left="208" w:right="206"/>
        <w:jc w:val="center"/>
      </w:pPr>
      <w:r>
        <w:t>ISTANBUL MEDIPOL UNIVERSITY</w:t>
      </w:r>
    </w:p>
    <w:p w14:paraId="5F8D04C7" w14:textId="77777777" w:rsidR="005060DB" w:rsidRDefault="00FB65EC" w:rsidP="00D91FD7">
      <w:pPr>
        <w:pStyle w:val="P68B1DB1-Normal1"/>
        <w:spacing w:line="360" w:lineRule="auto"/>
        <w:ind w:left="208" w:right="206"/>
        <w:jc w:val="center"/>
      </w:pPr>
      <w:r>
        <w:t>CLINICAL RESEARCH ETHICS COMMITTEE INSTRUCTION OF TRADITIONAL AND COMPLEMENTARY MEDICINE PRACTICE*</w:t>
      </w:r>
    </w:p>
    <w:p w14:paraId="5F8D04C8" w14:textId="77777777" w:rsidR="005060DB" w:rsidRDefault="005060DB">
      <w:pPr>
        <w:pStyle w:val="GvdeMetni"/>
        <w:spacing w:before="0"/>
        <w:ind w:left="0"/>
        <w:rPr>
          <w:b/>
          <w:sz w:val="26"/>
        </w:rPr>
      </w:pPr>
    </w:p>
    <w:p w14:paraId="5F8D04C9" w14:textId="77777777" w:rsidR="005060DB" w:rsidRDefault="00FB65EC" w:rsidP="00D91FD7">
      <w:pPr>
        <w:pStyle w:val="P68B1DB1-Normal1"/>
        <w:spacing w:before="223"/>
        <w:ind w:left="811"/>
        <w:jc w:val="center"/>
      </w:pPr>
      <w:proofErr w:type="spellStart"/>
      <w:r>
        <w:t>Aim</w:t>
      </w:r>
      <w:proofErr w:type="spellEnd"/>
    </w:p>
    <w:p w14:paraId="5F8D04CA" w14:textId="6A6AB147" w:rsidR="005060DB" w:rsidRDefault="00FB65EC">
      <w:pPr>
        <w:pStyle w:val="GvdeMetni"/>
        <w:ind w:left="103" w:right="101" w:firstLine="708"/>
        <w:jc w:val="both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1 -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inside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encountered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5F8D04CB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CC" w14:textId="77777777" w:rsidR="005060DB" w:rsidRDefault="00FB65EC" w:rsidP="00D91FD7">
      <w:pPr>
        <w:pStyle w:val="Balk1"/>
        <w:jc w:val="center"/>
      </w:pPr>
      <w:proofErr w:type="spellStart"/>
      <w:r>
        <w:t>Scope</w:t>
      </w:r>
      <w:proofErr w:type="spellEnd"/>
    </w:p>
    <w:p w14:paraId="5F8D04CD" w14:textId="530F6E52" w:rsidR="005060DB" w:rsidRDefault="00FB65EC">
      <w:pPr>
        <w:pStyle w:val="GvdeMetni"/>
        <w:ind w:left="811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5F8D04CE" w14:textId="77777777" w:rsidR="005060DB" w:rsidRDefault="00FB65EC">
      <w:pPr>
        <w:pStyle w:val="GvdeMetni"/>
        <w:spacing w:before="0"/>
        <w:ind w:left="103"/>
        <w:jc w:val="both"/>
      </w:pP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(GETAT) </w:t>
      </w:r>
      <w:proofErr w:type="spellStart"/>
      <w:r>
        <w:t>researches</w:t>
      </w:r>
      <w:proofErr w:type="spellEnd"/>
      <w:r>
        <w:t>.</w:t>
      </w:r>
    </w:p>
    <w:p w14:paraId="5F8D04CF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D0" w14:textId="712C4FEF" w:rsidR="005060DB" w:rsidRDefault="00FB65EC" w:rsidP="00D91FD7">
      <w:pPr>
        <w:pStyle w:val="Balk1"/>
        <w:jc w:val="center"/>
      </w:pPr>
      <w:r>
        <w:t>Bas</w:t>
      </w:r>
      <w:r w:rsidR="0018378C">
        <w:t>e</w:t>
      </w:r>
    </w:p>
    <w:p w14:paraId="5F8D04D1" w14:textId="7B5F2DDA" w:rsidR="005060DB" w:rsidRDefault="00FB65EC">
      <w:pPr>
        <w:pStyle w:val="GvdeMetni"/>
        <w:ind w:left="122" w:right="180"/>
        <w:jc w:val="both"/>
      </w:pPr>
      <w:r>
        <w:rPr>
          <w:b/>
        </w:rPr>
        <w:t>A</w:t>
      </w:r>
      <w:r w:rsidR="00673D13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3 -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</w:t>
      </w:r>
      <w:r w:rsidR="00673D13">
        <w:t>ns</w:t>
      </w:r>
      <w:r>
        <w:t>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r w:rsidR="003649C5">
        <w:t>A</w:t>
      </w:r>
      <w:r>
        <w:t>rticle</w:t>
      </w:r>
      <w:r w:rsidR="003649C5">
        <w:t>.</w:t>
      </w:r>
      <w:r>
        <w:t xml:space="preserve">10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Services Basic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7/5/1987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3359,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1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10/7/2018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30474 (ğ)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508,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 w:rsidR="003649C5">
        <w:t>Instruction</w:t>
      </w:r>
      <w:proofErr w:type="spellEnd"/>
      <w:r w:rsidR="003649C5">
        <w:t xml:space="preserve"> </w:t>
      </w:r>
      <w:r>
        <w:t xml:space="preserve">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 w:rsidR="003649C5">
        <w:t xml:space="preserve"> </w:t>
      </w:r>
      <w:r>
        <w:t>.</w:t>
      </w:r>
    </w:p>
    <w:p w14:paraId="5F8D04D2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D3" w14:textId="77777777" w:rsidR="005060DB" w:rsidRDefault="00FB65EC" w:rsidP="00D91FD7">
      <w:pPr>
        <w:pStyle w:val="Balk1"/>
        <w:jc w:val="center"/>
      </w:pPr>
      <w:proofErr w:type="spellStart"/>
      <w:r>
        <w:t>Definitions</w:t>
      </w:r>
      <w:proofErr w:type="spellEnd"/>
    </w:p>
    <w:p w14:paraId="5F8D04D4" w14:textId="6A216F79" w:rsidR="005060DB" w:rsidRDefault="005272F3">
      <w:pPr>
        <w:pStyle w:val="P68B1DB1-Normal2"/>
        <w:spacing w:before="120"/>
        <w:ind w:left="832"/>
      </w:pPr>
      <w:r w:rsidRPr="00673D13">
        <w:rPr>
          <w:b/>
          <w:bCs/>
        </w:rPr>
        <w:t xml:space="preserve">ARTICLE </w:t>
      </w:r>
      <w:proofErr w:type="gramStart"/>
      <w:r w:rsidRPr="00673D13">
        <w:rPr>
          <w:b/>
          <w:bCs/>
        </w:rPr>
        <w:t>4</w:t>
      </w:r>
      <w:r>
        <w:t xml:space="preserve"> </w:t>
      </w:r>
      <w:r w:rsidR="00673D13">
        <w:t>:</w:t>
      </w:r>
      <w:proofErr w:type="gramEnd"/>
      <w:r w:rsidR="00673D13">
        <w:t xml:space="preserve">  </w:t>
      </w:r>
      <w:proofErr w:type="spellStart"/>
      <w:r w:rsidR="00673D13">
        <w:t>The</w:t>
      </w:r>
      <w:proofErr w:type="spellEnd"/>
      <w:r w:rsidR="00673D13">
        <w:t xml:space="preserve"> </w:t>
      </w:r>
      <w:proofErr w:type="spellStart"/>
      <w:r w:rsidR="00673D13">
        <w:t>definitions</w:t>
      </w:r>
      <w:proofErr w:type="spellEnd"/>
      <w:r w:rsidR="00673D13">
        <w:t xml:space="preserve"> in </w:t>
      </w:r>
      <w:proofErr w:type="spellStart"/>
      <w:r w:rsidR="00673D13">
        <w:t>this</w:t>
      </w:r>
      <w:proofErr w:type="spellEnd"/>
      <w:r w:rsidR="00673D13">
        <w:t xml:space="preserve"> </w:t>
      </w:r>
      <w:proofErr w:type="spellStart"/>
      <w:r w:rsidR="00673D13">
        <w:t>instruction</w:t>
      </w:r>
      <w:proofErr w:type="spellEnd"/>
      <w:r w:rsidR="00673D13">
        <w:t xml:space="preserve"> </w:t>
      </w:r>
      <w:proofErr w:type="spellStart"/>
      <w:r w:rsidR="00673D13">
        <w:t>refer</w:t>
      </w:r>
      <w:proofErr w:type="spellEnd"/>
      <w:r w:rsidR="00673D13">
        <w:t xml:space="preserve"> </w:t>
      </w:r>
      <w:proofErr w:type="spellStart"/>
      <w:r w:rsidR="00673D13">
        <w:t>to</w:t>
      </w:r>
      <w:proofErr w:type="spellEnd"/>
      <w:r w:rsidR="00673D13">
        <w:t>;</w:t>
      </w:r>
    </w:p>
    <w:p w14:paraId="5F8D04D5" w14:textId="77777777" w:rsidR="005060DB" w:rsidRDefault="00FB65EC">
      <w:pPr>
        <w:pStyle w:val="P68B1DB1-ListParagraph3"/>
        <w:numPr>
          <w:ilvl w:val="0"/>
          <w:numId w:val="6"/>
        </w:numPr>
        <w:tabs>
          <w:tab w:val="left" w:pos="1078"/>
        </w:tabs>
        <w:ind w:firstLine="710"/>
      </w:pPr>
      <w:proofErr w:type="spellStart"/>
      <w:r>
        <w:t>Ministry</w:t>
      </w:r>
      <w:proofErr w:type="spellEnd"/>
      <w:r>
        <w:t xml:space="preserve">: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,</w:t>
      </w:r>
    </w:p>
    <w:p w14:paraId="5F8D04D6" w14:textId="77777777" w:rsidR="005060DB" w:rsidRDefault="00FB65EC">
      <w:pPr>
        <w:pStyle w:val="P68B1DB1-ListParagraph3"/>
        <w:numPr>
          <w:ilvl w:val="0"/>
          <w:numId w:val="6"/>
        </w:numPr>
        <w:tabs>
          <w:tab w:val="left" w:pos="1196"/>
        </w:tabs>
        <w:ind w:right="103" w:firstLine="710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5F8D04D7" w14:textId="77777777" w:rsidR="005060DB" w:rsidRDefault="00FB65EC">
      <w:pPr>
        <w:pStyle w:val="P68B1DB1-ListParagraph3"/>
        <w:numPr>
          <w:ilvl w:val="0"/>
          <w:numId w:val="6"/>
        </w:numPr>
        <w:tabs>
          <w:tab w:val="left" w:pos="1078"/>
        </w:tabs>
        <w:ind w:firstLine="710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F8D04D8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D9" w14:textId="77777777" w:rsidR="005060DB" w:rsidRDefault="00FB65EC" w:rsidP="00D91FD7">
      <w:pPr>
        <w:pStyle w:val="Balk1"/>
        <w:jc w:val="center"/>
      </w:pPr>
      <w:proofErr w:type="spellStart"/>
      <w:r>
        <w:t>Establishment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5F8D04DA" w14:textId="34D1942B" w:rsidR="005060DB" w:rsidRDefault="00FB65EC">
      <w:pPr>
        <w:pStyle w:val="GvdeMetni"/>
        <w:ind w:left="122" w:right="179" w:firstLine="710"/>
        <w:jc w:val="both"/>
      </w:pPr>
      <w:r>
        <w:rPr>
          <w:b/>
        </w:rPr>
        <w:t>A</w:t>
      </w:r>
      <w:r w:rsidR="00673D13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seven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of </w:t>
      </w:r>
      <w:proofErr w:type="spellStart"/>
      <w:r>
        <w:t>whom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is not a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</w:t>
      </w:r>
      <w:proofErr w:type="spellEnd"/>
      <w:r w:rsidR="00B55067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is a </w:t>
      </w:r>
      <w:proofErr w:type="spellStart"/>
      <w:r>
        <w:t>lawyer</w:t>
      </w:r>
      <w:proofErr w:type="spellEnd"/>
      <w:r w:rsidR="00B55067">
        <w:t xml:space="preserve">. </w:t>
      </w:r>
      <w:proofErr w:type="spellStart"/>
      <w:r w:rsidR="00B55067">
        <w:t>T</w:t>
      </w:r>
      <w:r>
        <w:t>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B55067">
        <w:t xml:space="preserve">a </w:t>
      </w:r>
      <w:proofErr w:type="spellStart"/>
      <w:r w:rsidR="00B55067">
        <w:t>PhD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Services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</w:t>
      </w:r>
      <w:proofErr w:type="spellStart"/>
      <w:r w:rsidR="00B55067">
        <w:t>The</w:t>
      </w:r>
      <w:proofErr w:type="spellEnd"/>
      <w:r w:rsidR="00B55067">
        <w:t xml:space="preserve"> </w:t>
      </w:r>
      <w:proofErr w:type="spellStart"/>
      <w:r w:rsidR="00B55067">
        <w:t>e</w:t>
      </w:r>
      <w:r>
        <w:t>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9, 2019</w:t>
      </w:r>
      <w:r w:rsidR="00B55067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30709</w:t>
      </w:r>
    </w:p>
    <w:p w14:paraId="5F8D04DB" w14:textId="77777777" w:rsidR="005060DB" w:rsidRDefault="005060DB">
      <w:pPr>
        <w:jc w:val="both"/>
        <w:sectPr w:rsidR="005060DB">
          <w:type w:val="continuous"/>
          <w:pgSz w:w="11910" w:h="16840"/>
          <w:pgMar w:top="1480" w:right="1260" w:bottom="280" w:left="1260" w:header="708" w:footer="708" w:gutter="0"/>
          <w:cols w:space="708"/>
        </w:sectPr>
      </w:pPr>
    </w:p>
    <w:p w14:paraId="5F8D04DC" w14:textId="64586575" w:rsidR="005060DB" w:rsidRDefault="00B55067">
      <w:pPr>
        <w:pStyle w:val="GvdeMetni"/>
        <w:spacing w:before="68"/>
      </w:pPr>
      <w:proofErr w:type="spellStart"/>
      <w:r>
        <w:lastRenderedPageBreak/>
        <w:t>A</w:t>
      </w:r>
      <w:r w:rsidR="00FB65EC">
        <w:t>nd</w:t>
      </w:r>
      <w:proofErr w:type="spellEnd"/>
      <w:r w:rsidR="00FB65EC">
        <w:t xml:space="preserve"> is </w:t>
      </w:r>
      <w:proofErr w:type="spellStart"/>
      <w:r w:rsidR="00FB65EC">
        <w:t>evaluated</w:t>
      </w:r>
      <w:proofErr w:type="spellEnd"/>
      <w:r w:rsidR="00FB65EC">
        <w:t xml:space="preserve"> </w:t>
      </w:r>
      <w:proofErr w:type="spellStart"/>
      <w:r w:rsidR="00FB65EC">
        <w:t>scientifically</w:t>
      </w:r>
      <w:proofErr w:type="spellEnd"/>
      <w:r w:rsidR="00FB65EC">
        <w:t xml:space="preserve"> </w:t>
      </w:r>
      <w:proofErr w:type="spellStart"/>
      <w:r w:rsidR="00FB65EC">
        <w:t>and</w:t>
      </w:r>
      <w:proofErr w:type="spellEnd"/>
      <w:r w:rsidR="00FB65EC">
        <w:t xml:space="preserve"> </w:t>
      </w:r>
      <w:proofErr w:type="spellStart"/>
      <w:r w:rsidR="00FB65EC">
        <w:t>ethically</w:t>
      </w:r>
      <w:proofErr w:type="spellEnd"/>
      <w:r w:rsidR="00FB65EC">
        <w:t xml:space="preserve"> </w:t>
      </w:r>
      <w:proofErr w:type="spellStart"/>
      <w:r w:rsidR="00FB65EC">
        <w:t>about</w:t>
      </w:r>
      <w:proofErr w:type="spellEnd"/>
      <w:r w:rsidR="00FB65EC">
        <w:t xml:space="preserve"> </w:t>
      </w:r>
      <w:proofErr w:type="spellStart"/>
      <w:r w:rsidR="00FB65EC">
        <w:t>the</w:t>
      </w:r>
      <w:proofErr w:type="spellEnd"/>
      <w:r w:rsidR="00FB65EC">
        <w:t xml:space="preserve"> </w:t>
      </w:r>
      <w:proofErr w:type="spellStart"/>
      <w:r w:rsidR="00FB65EC">
        <w:t>methods</w:t>
      </w:r>
      <w:proofErr w:type="spellEnd"/>
      <w:r w:rsidR="00FB65EC">
        <w:t xml:space="preserve"> </w:t>
      </w:r>
      <w:proofErr w:type="spellStart"/>
      <w:r w:rsidR="00FB65EC">
        <w:t>and</w:t>
      </w:r>
      <w:proofErr w:type="spellEnd"/>
      <w:r w:rsidR="00FB65EC">
        <w:t xml:space="preserve"> </w:t>
      </w:r>
      <w:proofErr w:type="spellStart"/>
      <w:r w:rsidR="00FB65EC">
        <w:t>documents</w:t>
      </w:r>
      <w:proofErr w:type="spellEnd"/>
      <w:r w:rsidR="00FB65EC">
        <w:t xml:space="preserve"> </w:t>
      </w:r>
      <w:proofErr w:type="spellStart"/>
      <w:r w:rsidR="00FB65EC">
        <w:t>to</w:t>
      </w:r>
      <w:proofErr w:type="spellEnd"/>
      <w:r w:rsidR="00FB65EC">
        <w:t xml:space="preserve"> </w:t>
      </w:r>
      <w:proofErr w:type="spellStart"/>
      <w:r>
        <w:t>inform</w:t>
      </w:r>
      <w:proofErr w:type="spellEnd"/>
      <w:r w:rsidR="00FB65EC">
        <w:t xml:space="preserve"> </w:t>
      </w:r>
      <w:proofErr w:type="spellStart"/>
      <w:r w:rsidR="00FB65EC">
        <w:t>the</w:t>
      </w:r>
      <w:proofErr w:type="spellEnd"/>
      <w:r w:rsidR="00FB65EC">
        <w:t xml:space="preserve"> </w:t>
      </w:r>
      <w:proofErr w:type="spellStart"/>
      <w:r w:rsidR="00FB65EC">
        <w:t>volunteers</w:t>
      </w:r>
      <w:proofErr w:type="spellEnd"/>
      <w:r w:rsidR="00FB65EC">
        <w:t xml:space="preserve"> </w:t>
      </w:r>
      <w:proofErr w:type="spellStart"/>
      <w:r w:rsidR="00FB65EC">
        <w:t>and</w:t>
      </w:r>
      <w:proofErr w:type="spellEnd"/>
      <w:r w:rsidR="00FB65EC">
        <w:t xml:space="preserve"> </w:t>
      </w:r>
      <w:proofErr w:type="spellStart"/>
      <w:r w:rsidR="00FB65EC">
        <w:t>the</w:t>
      </w:r>
      <w:proofErr w:type="spellEnd"/>
      <w:r w:rsidR="00FB65EC">
        <w:t xml:space="preserve"> </w:t>
      </w:r>
      <w:proofErr w:type="spellStart"/>
      <w:r w:rsidR="00FB65EC">
        <w:t>consent</w:t>
      </w:r>
      <w:proofErr w:type="spellEnd"/>
      <w:r w:rsidR="00FB65EC">
        <w:t xml:space="preserve"> </w:t>
      </w:r>
      <w:proofErr w:type="spellStart"/>
      <w:r w:rsidR="00FB65EC">
        <w:t>to</w:t>
      </w:r>
      <w:proofErr w:type="spellEnd"/>
      <w:r w:rsidR="00FB65EC">
        <w:t xml:space="preserve"> be </w:t>
      </w:r>
      <w:proofErr w:type="spellStart"/>
      <w:r w:rsidR="00FB65EC">
        <w:t>obtained</w:t>
      </w:r>
      <w:proofErr w:type="spellEnd"/>
      <w:r w:rsidR="00FB65EC">
        <w:t xml:space="preserve"> </w:t>
      </w:r>
      <w:proofErr w:type="spellStart"/>
      <w:r w:rsidR="00FB65EC">
        <w:t>from</w:t>
      </w:r>
      <w:proofErr w:type="spellEnd"/>
      <w:r w:rsidR="00FB65EC">
        <w:t xml:space="preserve"> </w:t>
      </w:r>
      <w:proofErr w:type="spellStart"/>
      <w:r w:rsidR="00FB65EC">
        <w:t>these</w:t>
      </w:r>
      <w:proofErr w:type="spellEnd"/>
      <w:r w:rsidR="00FB65EC">
        <w:t xml:space="preserve"> </w:t>
      </w:r>
      <w:proofErr w:type="spellStart"/>
      <w:r w:rsidR="00FB65EC">
        <w:t>people</w:t>
      </w:r>
      <w:proofErr w:type="spellEnd"/>
      <w:r w:rsidR="00FB65EC">
        <w:t>.</w:t>
      </w:r>
    </w:p>
    <w:p w14:paraId="5F8D04DD" w14:textId="77777777" w:rsidR="005060DB" w:rsidRDefault="00FB65EC">
      <w:pPr>
        <w:pStyle w:val="GvdeMetni"/>
        <w:tabs>
          <w:tab w:val="left" w:pos="1499"/>
        </w:tabs>
        <w:ind w:left="812"/>
      </w:pPr>
      <w:r>
        <w:rPr>
          <w:sz w:val="21"/>
        </w:rPr>
        <w:t>(</w:t>
      </w:r>
      <w:proofErr w:type="gramStart"/>
      <w:r>
        <w:rPr>
          <w:sz w:val="21"/>
        </w:rPr>
        <w:t>2)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;</w:t>
      </w:r>
    </w:p>
    <w:p w14:paraId="5F8D04DE" w14:textId="77777777" w:rsidR="005060DB" w:rsidRDefault="00FB65EC">
      <w:pPr>
        <w:pStyle w:val="P68B1DB1-ListParagraph3"/>
        <w:numPr>
          <w:ilvl w:val="0"/>
          <w:numId w:val="5"/>
        </w:numPr>
        <w:tabs>
          <w:tab w:val="left" w:pos="1082"/>
        </w:tabs>
        <w:ind w:right="117" w:firstLine="710"/>
        <w:jc w:val="both"/>
      </w:pPr>
      <w:r>
        <w:t xml:space="preserve">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deontology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.</w:t>
      </w:r>
    </w:p>
    <w:p w14:paraId="5F8D04DF" w14:textId="77777777" w:rsidR="005060DB" w:rsidRDefault="00FB65EC">
      <w:pPr>
        <w:pStyle w:val="P68B1DB1-ListParagraph3"/>
        <w:numPr>
          <w:ilvl w:val="0"/>
          <w:numId w:val="5"/>
        </w:numPr>
        <w:tabs>
          <w:tab w:val="left" w:pos="1065"/>
        </w:tabs>
        <w:ind w:right="118" w:firstLine="710"/>
        <w:jc w:val="both"/>
      </w:pPr>
      <w:r>
        <w:t xml:space="preserve">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a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in </w:t>
      </w:r>
      <w:proofErr w:type="spellStart"/>
      <w:r>
        <w:t>pharmacology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pharmacognosy</w:t>
      </w:r>
      <w:proofErr w:type="spellEnd"/>
      <w:r>
        <w:t>.</w:t>
      </w:r>
    </w:p>
    <w:p w14:paraId="5F8D04E0" w14:textId="51F80BA6" w:rsidR="005060DB" w:rsidRDefault="00FB65EC">
      <w:pPr>
        <w:pStyle w:val="P68B1DB1-ListParagraph3"/>
        <w:numPr>
          <w:ilvl w:val="0"/>
          <w:numId w:val="5"/>
        </w:numPr>
        <w:tabs>
          <w:tab w:val="left" w:pos="1099"/>
        </w:tabs>
        <w:ind w:right="122" w:firstLine="710"/>
        <w:jc w:val="both"/>
      </w:pPr>
      <w:proofErr w:type="spellStart"/>
      <w:r>
        <w:t>Specialist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,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specialities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as </w:t>
      </w:r>
      <w:proofErr w:type="spellStart"/>
      <w:r>
        <w:t>researchers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5F8D04E1" w14:textId="77777777" w:rsidR="005060DB" w:rsidRDefault="00FB65EC">
      <w:pPr>
        <w:pStyle w:val="GvdeMetni"/>
        <w:ind w:right="123" w:firstLine="710"/>
        <w:jc w:val="both"/>
      </w:pPr>
      <w:proofErr w:type="gramStart"/>
      <w:r>
        <w:t>ç</w:t>
      </w:r>
      <w:proofErr w:type="gramEnd"/>
      <w:r>
        <w:t xml:space="preserve">)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5F8D04E2" w14:textId="77777777" w:rsidR="005060DB" w:rsidRDefault="00FB65EC">
      <w:pPr>
        <w:pStyle w:val="P68B1DB1-ListParagraph3"/>
        <w:numPr>
          <w:ilvl w:val="0"/>
          <w:numId w:val="5"/>
        </w:numPr>
        <w:tabs>
          <w:tab w:val="left" w:pos="1142"/>
        </w:tabs>
        <w:ind w:left="1141" w:hanging="329"/>
      </w:pPr>
      <w:proofErr w:type="spellStart"/>
      <w:r>
        <w:t>PhD</w:t>
      </w:r>
      <w:proofErr w:type="spellEnd"/>
      <w:r>
        <w:t xml:space="preserve"> in </w:t>
      </w:r>
      <w:proofErr w:type="spellStart"/>
      <w:r>
        <w:t>biostatistics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or</w:t>
      </w:r>
      <w:proofErr w:type="spellEnd"/>
    </w:p>
    <w:p w14:paraId="5F8D04E3" w14:textId="45E8C815" w:rsidR="005060DB" w:rsidRDefault="00FB65EC">
      <w:pPr>
        <w:pStyle w:val="GvdeMetni"/>
        <w:spacing w:before="0"/>
      </w:pPr>
      <w:proofErr w:type="gramStart"/>
      <w:r>
        <w:t>a</w:t>
      </w:r>
      <w:proofErr w:type="gram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, </w:t>
      </w:r>
      <w:proofErr w:type="spellStart"/>
      <w:r>
        <w:t>preferably</w:t>
      </w:r>
      <w:proofErr w:type="spellEnd"/>
      <w:r>
        <w:t xml:space="preserve"> a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>.</w:t>
      </w:r>
    </w:p>
    <w:p w14:paraId="5F8D04E4" w14:textId="0E50AA65" w:rsidR="005060DB" w:rsidRDefault="00FB65EC">
      <w:pPr>
        <w:pStyle w:val="P68B1DB1-ListParagraph3"/>
        <w:numPr>
          <w:ilvl w:val="0"/>
          <w:numId w:val="5"/>
        </w:numPr>
        <w:tabs>
          <w:tab w:val="left" w:pos="1156"/>
        </w:tabs>
        <w:ind w:right="120" w:firstLine="710"/>
        <w:jc w:val="both"/>
      </w:pPr>
      <w:r>
        <w:t xml:space="preserve">A </w:t>
      </w:r>
      <w:proofErr w:type="spellStart"/>
      <w:r>
        <w:t>law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,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5F8D04E5" w14:textId="360DC3D4" w:rsidR="005060DB" w:rsidRDefault="00FB65EC">
      <w:pPr>
        <w:pStyle w:val="P68B1DB1-ListParagraph3"/>
        <w:numPr>
          <w:ilvl w:val="0"/>
          <w:numId w:val="5"/>
        </w:numPr>
        <w:tabs>
          <w:tab w:val="left" w:pos="1032"/>
        </w:tabs>
        <w:ind w:left="1031" w:hanging="219"/>
      </w:pPr>
      <w:r>
        <w:t xml:space="preserve">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not a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>.</w:t>
      </w:r>
    </w:p>
    <w:p w14:paraId="5F8D04E6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E7" w14:textId="77777777" w:rsidR="005060DB" w:rsidRDefault="00FB65EC" w:rsidP="00D91FD7">
      <w:pPr>
        <w:pStyle w:val="Balk1"/>
        <w:ind w:left="791"/>
        <w:jc w:val="center"/>
      </w:pP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5F8D04E8" w14:textId="1102DA41" w:rsidR="005060DB" w:rsidRDefault="00FB65EC">
      <w:pPr>
        <w:pStyle w:val="GvdeMetni"/>
        <w:ind w:left="812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5F8D04E9" w14:textId="491E78DA" w:rsidR="005060DB" w:rsidRDefault="00FB65EC">
      <w:pPr>
        <w:pStyle w:val="P68B1DB1-ListParagraph3"/>
        <w:numPr>
          <w:ilvl w:val="0"/>
          <w:numId w:val="4"/>
        </w:numPr>
        <w:tabs>
          <w:tab w:val="left" w:pos="1063"/>
        </w:tabs>
        <w:ind w:right="122" w:firstLine="71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independent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5F8D04EA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104"/>
        </w:tabs>
        <w:ind w:right="122" w:firstLine="710"/>
        <w:jc w:val="both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>.</w:t>
      </w:r>
    </w:p>
    <w:p w14:paraId="5F8D04EB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060"/>
        </w:tabs>
        <w:ind w:right="123" w:firstLine="710"/>
        <w:jc w:val="both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, General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Services.</w:t>
      </w:r>
    </w:p>
    <w:p w14:paraId="5F8D04EC" w14:textId="310F1F0F" w:rsidR="005060DB" w:rsidRDefault="00FB65EC">
      <w:pPr>
        <w:pStyle w:val="GvdeMetni"/>
        <w:ind w:right="122" w:firstLine="710"/>
        <w:jc w:val="both"/>
      </w:pPr>
      <w:proofErr w:type="gramStart"/>
      <w:r>
        <w:t>ç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has a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has a </w:t>
      </w:r>
      <w:proofErr w:type="spellStart"/>
      <w:r>
        <w:t>duty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,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.</w:t>
      </w:r>
    </w:p>
    <w:p w14:paraId="5F8D04ED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096"/>
        </w:tabs>
        <w:ind w:right="121" w:firstLine="710"/>
        <w:jc w:val="both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two-thirds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5F8D04EE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082"/>
        </w:tabs>
        <w:ind w:left="1081" w:hanging="269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reinstated</w:t>
      </w:r>
      <w:proofErr w:type="spellEnd"/>
    </w:p>
    <w:p w14:paraId="5F8D04EF" w14:textId="77777777" w:rsidR="005060DB" w:rsidRDefault="00FB65EC">
      <w:pPr>
        <w:pStyle w:val="GvdeMetni"/>
        <w:spacing w:before="0"/>
      </w:pPr>
      <w:proofErr w:type="gramStart"/>
      <w:r>
        <w:t>can</w:t>
      </w:r>
      <w:proofErr w:type="gramEnd"/>
      <w:r>
        <w:t xml:space="preserve"> be </w:t>
      </w:r>
      <w:proofErr w:type="spellStart"/>
      <w:r>
        <w:t>selected</w:t>
      </w:r>
      <w:proofErr w:type="spellEnd"/>
      <w:r>
        <w:t>.</w:t>
      </w:r>
    </w:p>
    <w:p w14:paraId="5F8D04F0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056"/>
        </w:tabs>
        <w:ind w:right="119" w:firstLine="710"/>
        <w:jc w:val="both"/>
      </w:pPr>
      <w:proofErr w:type="spellStart"/>
      <w:r>
        <w:t>Instead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,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is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 25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5F8D04F1" w14:textId="77777777" w:rsidR="005060DB" w:rsidRDefault="00FB65EC">
      <w:pPr>
        <w:pStyle w:val="P68B1DB1-ListParagraph3"/>
        <w:numPr>
          <w:ilvl w:val="0"/>
          <w:numId w:val="4"/>
        </w:numPr>
        <w:tabs>
          <w:tab w:val="left" w:pos="1099"/>
        </w:tabs>
        <w:ind w:right="122" w:firstLine="71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as </w:t>
      </w:r>
      <w:proofErr w:type="spellStart"/>
      <w:r>
        <w:t>consultants</w:t>
      </w:r>
      <w:proofErr w:type="spellEnd"/>
      <w:r>
        <w:t>.</w:t>
      </w:r>
    </w:p>
    <w:p w14:paraId="5F8D04F2" w14:textId="77777777" w:rsidR="005060DB" w:rsidRDefault="00FB65EC">
      <w:pPr>
        <w:pStyle w:val="GvdeMetni"/>
        <w:ind w:right="100" w:firstLine="710"/>
        <w:jc w:val="both"/>
      </w:pPr>
      <w:proofErr w:type="gramStart"/>
      <w:r>
        <w:t>ğ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convenes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is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vice-president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ballot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vice-president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is </w:t>
      </w:r>
      <w:proofErr w:type="spellStart"/>
      <w:r>
        <w:t>absent</w:t>
      </w:r>
      <w:proofErr w:type="spellEnd"/>
      <w:r>
        <w:t xml:space="preserve">. </w:t>
      </w:r>
    </w:p>
    <w:p w14:paraId="5F8D04F3" w14:textId="77777777" w:rsidR="005060DB" w:rsidRDefault="005060DB">
      <w:pPr>
        <w:jc w:val="both"/>
        <w:sectPr w:rsidR="005060DB">
          <w:pgSz w:w="11910" w:h="16840"/>
          <w:pgMar w:top="1360" w:right="1320" w:bottom="280" w:left="1280" w:header="708" w:footer="708" w:gutter="0"/>
          <w:cols w:space="708"/>
        </w:sectPr>
      </w:pPr>
    </w:p>
    <w:p w14:paraId="5F8D04F4" w14:textId="77777777" w:rsidR="005060DB" w:rsidRDefault="00FB65EC">
      <w:pPr>
        <w:pStyle w:val="GvdeMetni"/>
        <w:spacing w:before="68"/>
        <w:ind w:left="832"/>
      </w:pPr>
      <w:r>
        <w:lastRenderedPageBreak/>
        <w:t xml:space="preserve">(2) </w:t>
      </w:r>
      <w:proofErr w:type="spellStart"/>
      <w:r>
        <w:t>Membership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terminates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14:paraId="5F8D04F5" w14:textId="77777777" w:rsidR="005060DB" w:rsidRDefault="00FB65EC">
      <w:pPr>
        <w:pStyle w:val="P68B1DB1-ListParagraph3"/>
        <w:numPr>
          <w:ilvl w:val="0"/>
          <w:numId w:val="3"/>
        </w:numPr>
        <w:tabs>
          <w:tab w:val="left" w:pos="1097"/>
        </w:tabs>
      </w:pP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>,</w:t>
      </w:r>
    </w:p>
    <w:p w14:paraId="5F8D04F6" w14:textId="77777777" w:rsidR="005060DB" w:rsidRDefault="00FB65EC">
      <w:pPr>
        <w:pStyle w:val="P68B1DB1-ListParagraph3"/>
        <w:numPr>
          <w:ilvl w:val="0"/>
          <w:numId w:val="3"/>
        </w:numPr>
        <w:tabs>
          <w:tab w:val="left" w:pos="1097"/>
        </w:tabs>
      </w:pPr>
      <w:proofErr w:type="spellStart"/>
      <w:r>
        <w:t>Written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resignation</w:t>
      </w:r>
      <w:proofErr w:type="spellEnd"/>
      <w:r>
        <w:t>,</w:t>
      </w:r>
    </w:p>
    <w:p w14:paraId="5F8D04F7" w14:textId="77777777" w:rsidR="005060DB" w:rsidRDefault="00FB65EC">
      <w:pPr>
        <w:pStyle w:val="P68B1DB1-ListParagraph3"/>
        <w:numPr>
          <w:ilvl w:val="0"/>
          <w:numId w:val="3"/>
        </w:numPr>
        <w:tabs>
          <w:tab w:val="left" w:pos="1097"/>
        </w:tabs>
      </w:pPr>
      <w:r>
        <w:t xml:space="preserve">An </w:t>
      </w:r>
      <w:proofErr w:type="spellStart"/>
      <w:r>
        <w:t>uninterrupted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of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overseas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</w:p>
    <w:p w14:paraId="5F8D04F8" w14:textId="7B4628FC" w:rsidR="005060DB" w:rsidRDefault="00FB65EC">
      <w:pPr>
        <w:pStyle w:val="GvdeMetni"/>
        <w:spacing w:before="0"/>
        <w:ind w:left="122"/>
      </w:pPr>
      <w:proofErr w:type="spellStart"/>
      <w:proofErr w:type="gramStart"/>
      <w:r>
        <w:t>understanding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time,</w:t>
      </w:r>
    </w:p>
    <w:p w14:paraId="5F8D04F9" w14:textId="77777777" w:rsidR="005060DB" w:rsidRDefault="00FB65EC">
      <w:pPr>
        <w:pStyle w:val="GvdeMetni"/>
        <w:ind w:left="122" w:right="1140" w:firstLine="710"/>
      </w:pPr>
      <w:proofErr w:type="gramStart"/>
      <w:r>
        <w:t>ç</w:t>
      </w:r>
      <w:proofErr w:type="gramEnd"/>
      <w:r>
        <w:t xml:space="preserve">)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intermittent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 </w:t>
      </w:r>
      <w:proofErr w:type="spellStart"/>
      <w:r>
        <w:t>excuse</w:t>
      </w:r>
      <w:proofErr w:type="spellEnd"/>
      <w:r>
        <w:t xml:space="preserve"> in a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14:paraId="5F8D04FA" w14:textId="77777777" w:rsidR="005060DB" w:rsidRDefault="00FB65EC">
      <w:pPr>
        <w:pStyle w:val="P68B1DB1-ListParagraph3"/>
        <w:numPr>
          <w:ilvl w:val="0"/>
          <w:numId w:val="3"/>
        </w:numPr>
        <w:tabs>
          <w:tab w:val="left" w:pos="1097"/>
        </w:tabs>
      </w:pPr>
      <w:proofErr w:type="spellStart"/>
      <w:r>
        <w:t>It</w:t>
      </w:r>
      <w:proofErr w:type="spellEnd"/>
      <w:r>
        <w:t xml:space="preserve"> is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violated</w:t>
      </w:r>
      <w:proofErr w:type="spellEnd"/>
      <w:r>
        <w:t>.</w:t>
      </w:r>
    </w:p>
    <w:p w14:paraId="5F8D04FB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4FC" w14:textId="77777777" w:rsidR="005060DB" w:rsidRDefault="00FB65EC" w:rsidP="00D91FD7">
      <w:pPr>
        <w:pStyle w:val="Balk1"/>
        <w:ind w:left="832"/>
        <w:jc w:val="center"/>
      </w:pP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5F8D04FD" w14:textId="77777777" w:rsidR="005060DB" w:rsidRDefault="00FB65EC">
      <w:pPr>
        <w:pStyle w:val="GvdeMetni"/>
        <w:ind w:left="832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7 -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5F8D04FE" w14:textId="77777777" w:rsidR="005060DB" w:rsidRDefault="00FB65EC">
      <w:pPr>
        <w:pStyle w:val="P68B1DB1-ListParagraph3"/>
        <w:numPr>
          <w:ilvl w:val="0"/>
          <w:numId w:val="2"/>
        </w:numPr>
        <w:tabs>
          <w:tab w:val="left" w:pos="1235"/>
          <w:tab w:val="left" w:pos="1236"/>
        </w:tabs>
        <w:ind w:right="103" w:firstLine="710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GETAT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5F8D04FF" w14:textId="77777777" w:rsidR="005060DB" w:rsidRDefault="00FB65EC">
      <w:pPr>
        <w:pStyle w:val="P68B1DB1-ListParagraph3"/>
        <w:numPr>
          <w:ilvl w:val="0"/>
          <w:numId w:val="2"/>
        </w:numPr>
        <w:tabs>
          <w:tab w:val="left" w:pos="1236"/>
        </w:tabs>
        <w:ind w:firstLine="710"/>
      </w:pP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notice</w:t>
      </w:r>
      <w:proofErr w:type="spellEnd"/>
      <w:r>
        <w:t>,</w:t>
      </w:r>
    </w:p>
    <w:p w14:paraId="5F8D0500" w14:textId="77777777" w:rsidR="005060DB" w:rsidRDefault="00FB65EC">
      <w:pPr>
        <w:pStyle w:val="P68B1DB1-ListParagraph3"/>
        <w:numPr>
          <w:ilvl w:val="0"/>
          <w:numId w:val="2"/>
        </w:numPr>
        <w:tabs>
          <w:tab w:val="left" w:pos="1235"/>
          <w:tab w:val="left" w:pos="1236"/>
        </w:tabs>
        <w:ind w:firstLine="710"/>
      </w:pPr>
      <w:proofErr w:type="spellStart"/>
      <w:r>
        <w:t>Requesting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inconsistent</w:t>
      </w:r>
      <w:proofErr w:type="spellEnd"/>
      <w:r>
        <w:t>,</w:t>
      </w:r>
    </w:p>
    <w:p w14:paraId="5F8D0501" w14:textId="77777777" w:rsidR="005060DB" w:rsidRDefault="00FB65EC">
      <w:pPr>
        <w:pStyle w:val="GvdeMetni"/>
        <w:ind w:left="832"/>
      </w:pPr>
      <w:proofErr w:type="gramStart"/>
      <w:r>
        <w:t>ç</w:t>
      </w:r>
      <w:proofErr w:type="gramEnd"/>
      <w:r>
        <w:t xml:space="preserve">)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authorities</w:t>
      </w:r>
      <w:proofErr w:type="spellEnd"/>
    </w:p>
    <w:p w14:paraId="5F8D0503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504" w14:textId="77777777" w:rsidR="005060DB" w:rsidRDefault="00FB65EC" w:rsidP="00D91FD7">
      <w:pPr>
        <w:pStyle w:val="Balk1"/>
        <w:ind w:left="832"/>
        <w:jc w:val="center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Secretariat</w:t>
      </w:r>
      <w:proofErr w:type="spellEnd"/>
    </w:p>
    <w:p w14:paraId="5F8D0505" w14:textId="4D9F4A40" w:rsidR="005060DB" w:rsidRDefault="00FB65EC">
      <w:pPr>
        <w:pStyle w:val="GvdeMetni"/>
        <w:ind w:left="122" w:right="160" w:firstLine="710"/>
        <w:jc w:val="both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8 -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>.</w:t>
      </w:r>
    </w:p>
    <w:p w14:paraId="5F8D0506" w14:textId="77777777" w:rsidR="005060DB" w:rsidRDefault="00FB65EC">
      <w:pPr>
        <w:pStyle w:val="GvdeMetni"/>
        <w:ind w:left="832"/>
      </w:pPr>
      <w:r>
        <w:t xml:space="preserve">(2)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a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>.</w:t>
      </w:r>
    </w:p>
    <w:p w14:paraId="5F8D0507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508" w14:textId="77777777" w:rsidR="005060DB" w:rsidRDefault="00FB65EC" w:rsidP="00D91FD7">
      <w:pPr>
        <w:pStyle w:val="Balk1"/>
        <w:ind w:left="832"/>
        <w:jc w:val="center"/>
      </w:pPr>
      <w:proofErr w:type="spellStart"/>
      <w:r>
        <w:t>Research</w:t>
      </w:r>
      <w:proofErr w:type="spellEnd"/>
      <w:r>
        <w:t xml:space="preserve"> Application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Permit</w:t>
      </w:r>
      <w:proofErr w:type="spellEnd"/>
    </w:p>
    <w:p w14:paraId="5F8D0509" w14:textId="19FA3403" w:rsidR="005060DB" w:rsidRDefault="00FB65EC">
      <w:pPr>
        <w:pStyle w:val="GvdeMetni"/>
        <w:ind w:left="122" w:right="161" w:firstLine="710"/>
        <w:jc w:val="both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file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Guide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.</w:t>
      </w:r>
    </w:p>
    <w:p w14:paraId="5F8D050A" w14:textId="77777777" w:rsidR="005060DB" w:rsidRDefault="00FB65EC">
      <w:pPr>
        <w:pStyle w:val="P68B1DB1-ListParagraph3"/>
        <w:numPr>
          <w:ilvl w:val="0"/>
          <w:numId w:val="1"/>
        </w:numPr>
        <w:tabs>
          <w:tab w:val="left" w:pos="1169"/>
        </w:tabs>
        <w:ind w:firstLine="710"/>
      </w:pP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, sponsor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representative</w:t>
      </w:r>
      <w:proofErr w:type="spellEnd"/>
    </w:p>
    <w:p w14:paraId="5F8D050B" w14:textId="77777777" w:rsidR="005060DB" w:rsidRDefault="00FB65EC">
      <w:pPr>
        <w:pStyle w:val="GvdeMetni"/>
        <w:spacing w:before="0"/>
        <w:ind w:left="122"/>
      </w:pPr>
      <w:r>
        <w:t>.</w:t>
      </w:r>
    </w:p>
    <w:p w14:paraId="5F8D050C" w14:textId="5FC47BD6" w:rsidR="005060DB" w:rsidRDefault="00FB65EC">
      <w:pPr>
        <w:pStyle w:val="P68B1DB1-ListParagraph3"/>
        <w:numPr>
          <w:ilvl w:val="0"/>
          <w:numId w:val="1"/>
        </w:numPr>
        <w:tabs>
          <w:tab w:val="left" w:pos="1162"/>
        </w:tabs>
        <w:ind w:right="163" w:firstLine="710"/>
      </w:pPr>
      <w:proofErr w:type="spellStart"/>
      <w:r>
        <w:t>In</w:t>
      </w:r>
      <w:proofErr w:type="spellEnd"/>
      <w:r>
        <w:t xml:space="preserve"> </w:t>
      </w:r>
      <w:proofErr w:type="spellStart"/>
      <w:r>
        <w:t>multicenter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it is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cent</w:t>
      </w:r>
      <w:r w:rsidR="00B55067">
        <w:t>re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>.</w:t>
      </w:r>
    </w:p>
    <w:p w14:paraId="5F8D050D" w14:textId="77777777" w:rsidR="005060DB" w:rsidRDefault="00FB65EC">
      <w:pPr>
        <w:pStyle w:val="P68B1DB1-ListParagraph3"/>
        <w:numPr>
          <w:ilvl w:val="0"/>
          <w:numId w:val="1"/>
        </w:numPr>
        <w:tabs>
          <w:tab w:val="left" w:pos="1179"/>
        </w:tabs>
        <w:ind w:left="103" w:right="120" w:firstLine="708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registered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not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>/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>.</w:t>
      </w:r>
    </w:p>
    <w:p w14:paraId="5F8D050E" w14:textId="77777777" w:rsidR="005060DB" w:rsidRDefault="00FB65EC">
      <w:pPr>
        <w:pStyle w:val="P68B1DB1-ListParagraph3"/>
        <w:numPr>
          <w:ilvl w:val="0"/>
          <w:numId w:val="1"/>
        </w:numPr>
        <w:tabs>
          <w:tab w:val="left" w:pos="1200"/>
        </w:tabs>
        <w:ind w:left="103" w:right="120" w:firstLine="708"/>
      </w:pPr>
      <w:proofErr w:type="spellStart"/>
      <w:r>
        <w:t>If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at </w:t>
      </w:r>
      <w:proofErr w:type="spellStart"/>
      <w:r>
        <w:t>once</w:t>
      </w:r>
      <w:proofErr w:type="spellEnd"/>
      <w:r>
        <w:t xml:space="preserve">; </w:t>
      </w:r>
      <w:proofErr w:type="spellStart"/>
      <w:r>
        <w:t>desired</w:t>
      </w:r>
      <w:proofErr w:type="spellEnd"/>
    </w:p>
    <w:p w14:paraId="5F8D050F" w14:textId="77777777" w:rsidR="005060DB" w:rsidRDefault="005060DB">
      <w:pPr>
        <w:rPr>
          <w:sz w:val="24"/>
        </w:rPr>
        <w:sectPr w:rsidR="005060DB">
          <w:pgSz w:w="11910" w:h="16840"/>
          <w:pgMar w:top="1360" w:right="1260" w:bottom="280" w:left="1260" w:header="708" w:footer="708" w:gutter="0"/>
          <w:cols w:space="708"/>
        </w:sectPr>
      </w:pPr>
    </w:p>
    <w:p w14:paraId="5F8D0510" w14:textId="77777777" w:rsidR="005060DB" w:rsidRDefault="00FB65EC">
      <w:pPr>
        <w:pStyle w:val="GvdeMetni"/>
        <w:spacing w:before="68"/>
        <w:ind w:left="103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5F8D0511" w14:textId="77777777" w:rsidR="005060DB" w:rsidRDefault="00FB65EC">
      <w:pPr>
        <w:pStyle w:val="P68B1DB1-ListParagraph3"/>
        <w:numPr>
          <w:ilvl w:val="0"/>
          <w:numId w:val="1"/>
        </w:numPr>
        <w:tabs>
          <w:tab w:val="left" w:pos="1143"/>
        </w:tabs>
        <w:ind w:left="103" w:right="122" w:firstLine="708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Services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5F8D0512" w14:textId="099660AF" w:rsidR="005060DB" w:rsidRDefault="00FB65EC">
      <w:pPr>
        <w:pStyle w:val="P68B1DB1-ListParagraph3"/>
        <w:numPr>
          <w:ilvl w:val="0"/>
          <w:numId w:val="1"/>
        </w:numPr>
        <w:tabs>
          <w:tab w:val="left" w:pos="1152"/>
        </w:tabs>
        <w:ind w:left="103" w:right="120" w:firstLine="708"/>
        <w:jc w:val="both"/>
      </w:pPr>
      <w:r>
        <w:t xml:space="preserve">Application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5F8D0513" w14:textId="0FCFA826" w:rsidR="005060DB" w:rsidRDefault="00FB65EC">
      <w:pPr>
        <w:pStyle w:val="P68B1DB1-ListParagraph3"/>
        <w:numPr>
          <w:ilvl w:val="0"/>
          <w:numId w:val="1"/>
        </w:numPr>
        <w:tabs>
          <w:tab w:val="left" w:pos="1181"/>
        </w:tabs>
        <w:ind w:left="103" w:right="121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sponsors</w:t>
      </w:r>
      <w:proofErr w:type="spellEnd"/>
      <w:r>
        <w:t xml:space="preserve">. 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dissertations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supporter</w:t>
      </w:r>
      <w:proofErr w:type="spellEnd"/>
      <w:r>
        <w:t xml:space="preserve"> of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(TÜBİTAK, DPT,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No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in-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supporter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,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>.</w:t>
      </w:r>
    </w:p>
    <w:p w14:paraId="5F8D0514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515" w14:textId="77E8C4B6" w:rsidR="005060DB" w:rsidRDefault="00FB65EC" w:rsidP="00D91FD7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 w:rsidR="003649C5">
        <w:t>P</w:t>
      </w:r>
      <w:r>
        <w:t>rovisions</w:t>
      </w:r>
      <w:proofErr w:type="spellEnd"/>
    </w:p>
    <w:p w14:paraId="5F8D0516" w14:textId="2BC54829" w:rsidR="005060DB" w:rsidRDefault="00FB65EC">
      <w:pPr>
        <w:pStyle w:val="GvdeMetni"/>
        <w:ind w:left="103" w:right="118" w:firstLine="708"/>
        <w:jc w:val="both"/>
      </w:pPr>
      <w:r>
        <w:rPr>
          <w:b/>
        </w:rPr>
        <w:t>A</w:t>
      </w:r>
      <w:r w:rsidR="007D6D55">
        <w:rPr>
          <w:b/>
        </w:rPr>
        <w:t>RTICLE</w:t>
      </w:r>
      <w:r>
        <w:rPr>
          <w:b/>
        </w:rPr>
        <w:t xml:space="preserve"> 10 -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Convention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Dignity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Application of </w:t>
      </w:r>
      <w:proofErr w:type="spellStart"/>
      <w:r>
        <w:t>Biology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No. 5013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9/12/2003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25311: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on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Biomedicine</w:t>
      </w:r>
      <w:proofErr w:type="spellEnd"/>
      <w:r>
        <w:t xml:space="preserve">,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Deontology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Ministers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13/1/1960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4/12578,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volunteers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1/8/1998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23420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5F8D0517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518" w14:textId="77777777" w:rsidR="005060DB" w:rsidRDefault="00FB65EC" w:rsidP="00D91FD7">
      <w:pPr>
        <w:pStyle w:val="Balk1"/>
        <w:jc w:val="center"/>
      </w:pPr>
      <w:proofErr w:type="spellStart"/>
      <w:r>
        <w:t>Enforcement</w:t>
      </w:r>
      <w:proofErr w:type="spellEnd"/>
    </w:p>
    <w:p w14:paraId="5F8D0519" w14:textId="1EEC6F1F" w:rsidR="005060DB" w:rsidRDefault="00FB65EC">
      <w:pPr>
        <w:pStyle w:val="GvdeMetni"/>
        <w:ind w:left="103" w:right="123" w:firstLine="708"/>
        <w:jc w:val="both"/>
      </w:pPr>
      <w:r>
        <w:rPr>
          <w:b/>
        </w:rPr>
        <w:t>A</w:t>
      </w:r>
      <w:r w:rsidR="00011C79">
        <w:rPr>
          <w:b/>
        </w:rPr>
        <w:t>RTICLE</w:t>
      </w:r>
      <w:r>
        <w:rPr>
          <w:b/>
        </w:rPr>
        <w:t xml:space="preserve"> 1</w:t>
      </w:r>
      <w:r w:rsidR="006268C8">
        <w:rPr>
          <w:b/>
        </w:rPr>
        <w:t>1</w:t>
      </w:r>
      <w:r>
        <w:rPr>
          <w:b/>
        </w:rPr>
        <w:t xml:space="preserve">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5F8D051A" w14:textId="77777777" w:rsidR="005060DB" w:rsidRDefault="005060DB">
      <w:pPr>
        <w:pStyle w:val="GvdeMetni"/>
        <w:spacing w:before="0"/>
        <w:ind w:left="0"/>
        <w:rPr>
          <w:sz w:val="26"/>
        </w:rPr>
      </w:pPr>
    </w:p>
    <w:p w14:paraId="5F8D051B" w14:textId="77777777" w:rsidR="005060DB" w:rsidRDefault="00FB65EC" w:rsidP="00D91FD7">
      <w:pPr>
        <w:pStyle w:val="Balk1"/>
        <w:jc w:val="center"/>
      </w:pPr>
      <w:proofErr w:type="spellStart"/>
      <w:r>
        <w:t>Execution</w:t>
      </w:r>
      <w:proofErr w:type="spellEnd"/>
    </w:p>
    <w:p w14:paraId="5F8D051C" w14:textId="2D9FFADB" w:rsidR="005060DB" w:rsidRDefault="00FB65EC">
      <w:pPr>
        <w:pStyle w:val="GvdeMetni"/>
        <w:ind w:left="811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1</w:t>
      </w:r>
      <w:r w:rsidR="006268C8">
        <w:rPr>
          <w:b/>
        </w:rPr>
        <w:t>2</w:t>
      </w:r>
      <w:r>
        <w:rPr>
          <w:b/>
        </w:rP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F8D051D" w14:textId="77777777" w:rsidR="005060DB" w:rsidRDefault="00FB65EC">
      <w:pPr>
        <w:pStyle w:val="GvdeMetni"/>
        <w:ind w:left="103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20/11/2019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2019/12-03.</w:t>
      </w:r>
    </w:p>
    <w:sectPr w:rsidR="005060DB">
      <w:pgSz w:w="11910" w:h="16840"/>
      <w:pgMar w:top="136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F0D"/>
    <w:multiLevelType w:val="hybridMultilevel"/>
    <w:tmpl w:val="2D743E9E"/>
    <w:lvl w:ilvl="0" w:tplc="97A8ACBE">
      <w:start w:val="1"/>
      <w:numFmt w:val="lowerLetter"/>
      <w:lvlText w:val="%1)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6BE995A">
      <w:numFmt w:val="bullet"/>
      <w:lvlText w:val="•"/>
      <w:lvlJc w:val="left"/>
      <w:pPr>
        <w:ind w:left="1020" w:hanging="269"/>
      </w:pPr>
      <w:rPr>
        <w:rFonts w:hint="default"/>
      </w:rPr>
    </w:lvl>
    <w:lvl w:ilvl="2" w:tplc="BBB46608">
      <w:numFmt w:val="bullet"/>
      <w:lvlText w:val="•"/>
      <w:lvlJc w:val="left"/>
      <w:pPr>
        <w:ind w:left="1941" w:hanging="269"/>
      </w:pPr>
      <w:rPr>
        <w:rFonts w:hint="default"/>
      </w:rPr>
    </w:lvl>
    <w:lvl w:ilvl="3" w:tplc="BB0C65EC">
      <w:numFmt w:val="bullet"/>
      <w:lvlText w:val="•"/>
      <w:lvlJc w:val="left"/>
      <w:pPr>
        <w:ind w:left="2862" w:hanging="269"/>
      </w:pPr>
      <w:rPr>
        <w:rFonts w:hint="default"/>
      </w:rPr>
    </w:lvl>
    <w:lvl w:ilvl="4" w:tplc="8230EA12">
      <w:numFmt w:val="bullet"/>
      <w:lvlText w:val="•"/>
      <w:lvlJc w:val="left"/>
      <w:pPr>
        <w:ind w:left="3783" w:hanging="269"/>
      </w:pPr>
      <w:rPr>
        <w:rFonts w:hint="default"/>
      </w:rPr>
    </w:lvl>
    <w:lvl w:ilvl="5" w:tplc="36967F9A">
      <w:numFmt w:val="bullet"/>
      <w:lvlText w:val="•"/>
      <w:lvlJc w:val="left"/>
      <w:pPr>
        <w:ind w:left="4704" w:hanging="269"/>
      </w:pPr>
      <w:rPr>
        <w:rFonts w:hint="default"/>
      </w:rPr>
    </w:lvl>
    <w:lvl w:ilvl="6" w:tplc="C236169C">
      <w:numFmt w:val="bullet"/>
      <w:lvlText w:val="•"/>
      <w:lvlJc w:val="left"/>
      <w:pPr>
        <w:ind w:left="5625" w:hanging="269"/>
      </w:pPr>
      <w:rPr>
        <w:rFonts w:hint="default"/>
      </w:rPr>
    </w:lvl>
    <w:lvl w:ilvl="7" w:tplc="D8E8D0B2">
      <w:numFmt w:val="bullet"/>
      <w:lvlText w:val="•"/>
      <w:lvlJc w:val="left"/>
      <w:pPr>
        <w:ind w:left="6546" w:hanging="269"/>
      </w:pPr>
      <w:rPr>
        <w:rFonts w:hint="default"/>
      </w:rPr>
    </w:lvl>
    <w:lvl w:ilvl="8" w:tplc="BC7E9C94">
      <w:numFmt w:val="bullet"/>
      <w:lvlText w:val="•"/>
      <w:lvlJc w:val="left"/>
      <w:pPr>
        <w:ind w:left="7467" w:hanging="269"/>
      </w:pPr>
      <w:rPr>
        <w:rFonts w:hint="default"/>
      </w:rPr>
    </w:lvl>
  </w:abstractNum>
  <w:abstractNum w:abstractNumId="1" w15:restartNumberingAfterBreak="0">
    <w:nsid w:val="11981F01"/>
    <w:multiLevelType w:val="hybridMultilevel"/>
    <w:tmpl w:val="37F2C140"/>
    <w:lvl w:ilvl="0" w:tplc="275A027E">
      <w:start w:val="1"/>
      <w:numFmt w:val="lowerLetter"/>
      <w:lvlText w:val="%1)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C063A10">
      <w:numFmt w:val="bullet"/>
      <w:lvlText w:val="•"/>
      <w:lvlJc w:val="left"/>
      <w:pPr>
        <w:ind w:left="1020" w:hanging="250"/>
      </w:pPr>
      <w:rPr>
        <w:rFonts w:hint="default"/>
      </w:rPr>
    </w:lvl>
    <w:lvl w:ilvl="2" w:tplc="CB342E9C">
      <w:numFmt w:val="bullet"/>
      <w:lvlText w:val="•"/>
      <w:lvlJc w:val="left"/>
      <w:pPr>
        <w:ind w:left="1941" w:hanging="250"/>
      </w:pPr>
      <w:rPr>
        <w:rFonts w:hint="default"/>
      </w:rPr>
    </w:lvl>
    <w:lvl w:ilvl="3" w:tplc="7C2E77A4">
      <w:numFmt w:val="bullet"/>
      <w:lvlText w:val="•"/>
      <w:lvlJc w:val="left"/>
      <w:pPr>
        <w:ind w:left="2862" w:hanging="250"/>
      </w:pPr>
      <w:rPr>
        <w:rFonts w:hint="default"/>
      </w:rPr>
    </w:lvl>
    <w:lvl w:ilvl="4" w:tplc="744CEA28">
      <w:numFmt w:val="bullet"/>
      <w:lvlText w:val="•"/>
      <w:lvlJc w:val="left"/>
      <w:pPr>
        <w:ind w:left="3783" w:hanging="250"/>
      </w:pPr>
      <w:rPr>
        <w:rFonts w:hint="default"/>
      </w:rPr>
    </w:lvl>
    <w:lvl w:ilvl="5" w:tplc="888E2F26">
      <w:numFmt w:val="bullet"/>
      <w:lvlText w:val="•"/>
      <w:lvlJc w:val="left"/>
      <w:pPr>
        <w:ind w:left="4704" w:hanging="250"/>
      </w:pPr>
      <w:rPr>
        <w:rFonts w:hint="default"/>
      </w:rPr>
    </w:lvl>
    <w:lvl w:ilvl="6" w:tplc="2E96ACE2">
      <w:numFmt w:val="bullet"/>
      <w:lvlText w:val="•"/>
      <w:lvlJc w:val="left"/>
      <w:pPr>
        <w:ind w:left="5625" w:hanging="250"/>
      </w:pPr>
      <w:rPr>
        <w:rFonts w:hint="default"/>
      </w:rPr>
    </w:lvl>
    <w:lvl w:ilvl="7" w:tplc="EC1218F8">
      <w:numFmt w:val="bullet"/>
      <w:lvlText w:val="•"/>
      <w:lvlJc w:val="left"/>
      <w:pPr>
        <w:ind w:left="6546" w:hanging="250"/>
      </w:pPr>
      <w:rPr>
        <w:rFonts w:hint="default"/>
      </w:rPr>
    </w:lvl>
    <w:lvl w:ilvl="8" w:tplc="36466DA0">
      <w:numFmt w:val="bullet"/>
      <w:lvlText w:val="•"/>
      <w:lvlJc w:val="left"/>
      <w:pPr>
        <w:ind w:left="7467" w:hanging="250"/>
      </w:pPr>
      <w:rPr>
        <w:rFonts w:hint="default"/>
      </w:rPr>
    </w:lvl>
  </w:abstractNum>
  <w:abstractNum w:abstractNumId="2" w15:restartNumberingAfterBreak="0">
    <w:nsid w:val="1FB219DB"/>
    <w:multiLevelType w:val="hybridMultilevel"/>
    <w:tmpl w:val="4C42FA1C"/>
    <w:lvl w:ilvl="0" w:tplc="C0B0B5B0">
      <w:start w:val="1"/>
      <w:numFmt w:val="lowerLetter"/>
      <w:lvlText w:val="%1)"/>
      <w:lvlJc w:val="left"/>
      <w:pPr>
        <w:ind w:left="12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7324A62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E71829F4">
      <w:numFmt w:val="bullet"/>
      <w:lvlText w:val="•"/>
      <w:lvlJc w:val="left"/>
      <w:pPr>
        <w:ind w:left="1973" w:hanging="245"/>
      </w:pPr>
      <w:rPr>
        <w:rFonts w:hint="default"/>
      </w:rPr>
    </w:lvl>
    <w:lvl w:ilvl="3" w:tplc="DED8877E">
      <w:numFmt w:val="bullet"/>
      <w:lvlText w:val="•"/>
      <w:lvlJc w:val="left"/>
      <w:pPr>
        <w:ind w:left="2900" w:hanging="245"/>
      </w:pPr>
      <w:rPr>
        <w:rFonts w:hint="default"/>
      </w:rPr>
    </w:lvl>
    <w:lvl w:ilvl="4" w:tplc="8E0CDF92">
      <w:numFmt w:val="bullet"/>
      <w:lvlText w:val="•"/>
      <w:lvlJc w:val="left"/>
      <w:pPr>
        <w:ind w:left="3827" w:hanging="245"/>
      </w:pPr>
      <w:rPr>
        <w:rFonts w:hint="default"/>
      </w:rPr>
    </w:lvl>
    <w:lvl w:ilvl="5" w:tplc="A4F262DC">
      <w:numFmt w:val="bullet"/>
      <w:lvlText w:val="•"/>
      <w:lvlJc w:val="left"/>
      <w:pPr>
        <w:ind w:left="4754" w:hanging="245"/>
      </w:pPr>
      <w:rPr>
        <w:rFonts w:hint="default"/>
      </w:rPr>
    </w:lvl>
    <w:lvl w:ilvl="6" w:tplc="FD64833C">
      <w:numFmt w:val="bullet"/>
      <w:lvlText w:val="•"/>
      <w:lvlJc w:val="left"/>
      <w:pPr>
        <w:ind w:left="5681" w:hanging="245"/>
      </w:pPr>
      <w:rPr>
        <w:rFonts w:hint="default"/>
      </w:rPr>
    </w:lvl>
    <w:lvl w:ilvl="7" w:tplc="0E4E3994">
      <w:numFmt w:val="bullet"/>
      <w:lvlText w:val="•"/>
      <w:lvlJc w:val="left"/>
      <w:pPr>
        <w:ind w:left="6608" w:hanging="245"/>
      </w:pPr>
      <w:rPr>
        <w:rFonts w:hint="default"/>
      </w:rPr>
    </w:lvl>
    <w:lvl w:ilvl="8" w:tplc="5A107E62">
      <w:numFmt w:val="bullet"/>
      <w:lvlText w:val="•"/>
      <w:lvlJc w:val="left"/>
      <w:pPr>
        <w:ind w:left="7535" w:hanging="245"/>
      </w:pPr>
      <w:rPr>
        <w:rFonts w:hint="default"/>
      </w:rPr>
    </w:lvl>
  </w:abstractNum>
  <w:abstractNum w:abstractNumId="3" w15:restartNumberingAfterBreak="0">
    <w:nsid w:val="278D0340"/>
    <w:multiLevelType w:val="hybridMultilevel"/>
    <w:tmpl w:val="9A5886E0"/>
    <w:lvl w:ilvl="0" w:tplc="E684E9C8">
      <w:start w:val="1"/>
      <w:numFmt w:val="lowerLetter"/>
      <w:lvlText w:val="%1)"/>
      <w:lvlJc w:val="left"/>
      <w:pPr>
        <w:ind w:left="1096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600067F8">
      <w:numFmt w:val="bullet"/>
      <w:lvlText w:val="•"/>
      <w:lvlJc w:val="left"/>
      <w:pPr>
        <w:ind w:left="1928" w:hanging="264"/>
      </w:pPr>
      <w:rPr>
        <w:rFonts w:hint="default"/>
      </w:rPr>
    </w:lvl>
    <w:lvl w:ilvl="2" w:tplc="128252A0">
      <w:numFmt w:val="bullet"/>
      <w:lvlText w:val="•"/>
      <w:lvlJc w:val="left"/>
      <w:pPr>
        <w:ind w:left="2757" w:hanging="264"/>
      </w:pPr>
      <w:rPr>
        <w:rFonts w:hint="default"/>
      </w:rPr>
    </w:lvl>
    <w:lvl w:ilvl="3" w:tplc="39C831A2">
      <w:numFmt w:val="bullet"/>
      <w:lvlText w:val="•"/>
      <w:lvlJc w:val="left"/>
      <w:pPr>
        <w:ind w:left="3586" w:hanging="264"/>
      </w:pPr>
      <w:rPr>
        <w:rFonts w:hint="default"/>
      </w:rPr>
    </w:lvl>
    <w:lvl w:ilvl="4" w:tplc="5E36BB80">
      <w:numFmt w:val="bullet"/>
      <w:lvlText w:val="•"/>
      <w:lvlJc w:val="left"/>
      <w:pPr>
        <w:ind w:left="4415" w:hanging="264"/>
      </w:pPr>
      <w:rPr>
        <w:rFonts w:hint="default"/>
      </w:rPr>
    </w:lvl>
    <w:lvl w:ilvl="5" w:tplc="CFA812F6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CB80A032">
      <w:numFmt w:val="bullet"/>
      <w:lvlText w:val="•"/>
      <w:lvlJc w:val="left"/>
      <w:pPr>
        <w:ind w:left="6073" w:hanging="264"/>
      </w:pPr>
      <w:rPr>
        <w:rFonts w:hint="default"/>
      </w:rPr>
    </w:lvl>
    <w:lvl w:ilvl="7" w:tplc="170EDEE4">
      <w:numFmt w:val="bullet"/>
      <w:lvlText w:val="•"/>
      <w:lvlJc w:val="left"/>
      <w:pPr>
        <w:ind w:left="6902" w:hanging="264"/>
      </w:pPr>
      <w:rPr>
        <w:rFonts w:hint="default"/>
      </w:rPr>
    </w:lvl>
    <w:lvl w:ilvl="8" w:tplc="6838CAC2">
      <w:numFmt w:val="bullet"/>
      <w:lvlText w:val="•"/>
      <w:lvlJc w:val="left"/>
      <w:pPr>
        <w:ind w:left="7731" w:hanging="264"/>
      </w:pPr>
      <w:rPr>
        <w:rFonts w:hint="default"/>
      </w:rPr>
    </w:lvl>
  </w:abstractNum>
  <w:abstractNum w:abstractNumId="4" w15:restartNumberingAfterBreak="0">
    <w:nsid w:val="3FFC58DD"/>
    <w:multiLevelType w:val="hybridMultilevel"/>
    <w:tmpl w:val="B3FA276E"/>
    <w:lvl w:ilvl="0" w:tplc="266A1654">
      <w:start w:val="2"/>
      <w:numFmt w:val="decimal"/>
      <w:lvlText w:val="(%1)"/>
      <w:lvlJc w:val="left"/>
      <w:pPr>
        <w:ind w:left="122" w:hanging="3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32BC18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9B8CD6F8">
      <w:numFmt w:val="bullet"/>
      <w:lvlText w:val="•"/>
      <w:lvlJc w:val="left"/>
      <w:pPr>
        <w:ind w:left="1973" w:hanging="336"/>
      </w:pPr>
      <w:rPr>
        <w:rFonts w:hint="default"/>
      </w:rPr>
    </w:lvl>
    <w:lvl w:ilvl="3" w:tplc="6598E5B0">
      <w:numFmt w:val="bullet"/>
      <w:lvlText w:val="•"/>
      <w:lvlJc w:val="left"/>
      <w:pPr>
        <w:ind w:left="2900" w:hanging="336"/>
      </w:pPr>
      <w:rPr>
        <w:rFonts w:hint="default"/>
      </w:rPr>
    </w:lvl>
    <w:lvl w:ilvl="4" w:tplc="4D02D970">
      <w:numFmt w:val="bullet"/>
      <w:lvlText w:val="•"/>
      <w:lvlJc w:val="left"/>
      <w:pPr>
        <w:ind w:left="3827" w:hanging="336"/>
      </w:pPr>
      <w:rPr>
        <w:rFonts w:hint="default"/>
      </w:rPr>
    </w:lvl>
    <w:lvl w:ilvl="5" w:tplc="47F60E50">
      <w:numFmt w:val="bullet"/>
      <w:lvlText w:val="•"/>
      <w:lvlJc w:val="left"/>
      <w:pPr>
        <w:ind w:left="4754" w:hanging="336"/>
      </w:pPr>
      <w:rPr>
        <w:rFonts w:hint="default"/>
      </w:rPr>
    </w:lvl>
    <w:lvl w:ilvl="6" w:tplc="51BE3CB2">
      <w:numFmt w:val="bullet"/>
      <w:lvlText w:val="•"/>
      <w:lvlJc w:val="left"/>
      <w:pPr>
        <w:ind w:left="5681" w:hanging="336"/>
      </w:pPr>
      <w:rPr>
        <w:rFonts w:hint="default"/>
      </w:rPr>
    </w:lvl>
    <w:lvl w:ilvl="7" w:tplc="CA8E3140">
      <w:numFmt w:val="bullet"/>
      <w:lvlText w:val="•"/>
      <w:lvlJc w:val="left"/>
      <w:pPr>
        <w:ind w:left="6608" w:hanging="336"/>
      </w:pPr>
      <w:rPr>
        <w:rFonts w:hint="default"/>
      </w:rPr>
    </w:lvl>
    <w:lvl w:ilvl="8" w:tplc="D6C6088E">
      <w:numFmt w:val="bullet"/>
      <w:lvlText w:val="•"/>
      <w:lvlJc w:val="left"/>
      <w:pPr>
        <w:ind w:left="7535" w:hanging="336"/>
      </w:pPr>
      <w:rPr>
        <w:rFonts w:hint="default"/>
      </w:rPr>
    </w:lvl>
  </w:abstractNum>
  <w:abstractNum w:abstractNumId="5" w15:restartNumberingAfterBreak="0">
    <w:nsid w:val="47820194"/>
    <w:multiLevelType w:val="hybridMultilevel"/>
    <w:tmpl w:val="69E289E8"/>
    <w:lvl w:ilvl="0" w:tplc="1EC61CD2">
      <w:start w:val="1"/>
      <w:numFmt w:val="lowerLetter"/>
      <w:lvlText w:val="%1)"/>
      <w:lvlJc w:val="left"/>
      <w:pPr>
        <w:ind w:left="122" w:hanging="4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1CC6228A">
      <w:numFmt w:val="bullet"/>
      <w:lvlText w:val="•"/>
      <w:lvlJc w:val="left"/>
      <w:pPr>
        <w:ind w:left="1046" w:hanging="404"/>
      </w:pPr>
      <w:rPr>
        <w:rFonts w:hint="default"/>
      </w:rPr>
    </w:lvl>
    <w:lvl w:ilvl="2" w:tplc="80EA3A30">
      <w:numFmt w:val="bullet"/>
      <w:lvlText w:val="•"/>
      <w:lvlJc w:val="left"/>
      <w:pPr>
        <w:ind w:left="1973" w:hanging="404"/>
      </w:pPr>
      <w:rPr>
        <w:rFonts w:hint="default"/>
      </w:rPr>
    </w:lvl>
    <w:lvl w:ilvl="3" w:tplc="BEE4B4EC">
      <w:numFmt w:val="bullet"/>
      <w:lvlText w:val="•"/>
      <w:lvlJc w:val="left"/>
      <w:pPr>
        <w:ind w:left="2900" w:hanging="404"/>
      </w:pPr>
      <w:rPr>
        <w:rFonts w:hint="default"/>
      </w:rPr>
    </w:lvl>
    <w:lvl w:ilvl="4" w:tplc="53BCB44C">
      <w:numFmt w:val="bullet"/>
      <w:lvlText w:val="•"/>
      <w:lvlJc w:val="left"/>
      <w:pPr>
        <w:ind w:left="3827" w:hanging="404"/>
      </w:pPr>
      <w:rPr>
        <w:rFonts w:hint="default"/>
      </w:rPr>
    </w:lvl>
    <w:lvl w:ilvl="5" w:tplc="71ECE86E">
      <w:numFmt w:val="bullet"/>
      <w:lvlText w:val="•"/>
      <w:lvlJc w:val="left"/>
      <w:pPr>
        <w:ind w:left="4754" w:hanging="404"/>
      </w:pPr>
      <w:rPr>
        <w:rFonts w:hint="default"/>
      </w:rPr>
    </w:lvl>
    <w:lvl w:ilvl="6" w:tplc="5F7A22D2">
      <w:numFmt w:val="bullet"/>
      <w:lvlText w:val="•"/>
      <w:lvlJc w:val="left"/>
      <w:pPr>
        <w:ind w:left="5681" w:hanging="404"/>
      </w:pPr>
      <w:rPr>
        <w:rFonts w:hint="default"/>
      </w:rPr>
    </w:lvl>
    <w:lvl w:ilvl="7" w:tplc="528AFFEA">
      <w:numFmt w:val="bullet"/>
      <w:lvlText w:val="•"/>
      <w:lvlJc w:val="left"/>
      <w:pPr>
        <w:ind w:left="6608" w:hanging="404"/>
      </w:pPr>
      <w:rPr>
        <w:rFonts w:hint="default"/>
      </w:rPr>
    </w:lvl>
    <w:lvl w:ilvl="8" w:tplc="6EBC997A">
      <w:numFmt w:val="bullet"/>
      <w:lvlText w:val="•"/>
      <w:lvlJc w:val="left"/>
      <w:pPr>
        <w:ind w:left="7535" w:hanging="40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7A0szQxMDA3NrNU0lEKTi0uzszPAykwrgUAoWySXCwAAAA="/>
  </w:docVars>
  <w:rsids>
    <w:rsidRoot w:val="005060DB"/>
    <w:rsid w:val="00011C79"/>
    <w:rsid w:val="0018378C"/>
    <w:rsid w:val="003649C5"/>
    <w:rsid w:val="00375EB2"/>
    <w:rsid w:val="005060DB"/>
    <w:rsid w:val="005272F3"/>
    <w:rsid w:val="006268C8"/>
    <w:rsid w:val="00673D13"/>
    <w:rsid w:val="007D6D55"/>
    <w:rsid w:val="00A649AC"/>
    <w:rsid w:val="00B55067"/>
    <w:rsid w:val="00D91FD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04C3"/>
  <w15:docId w15:val="{D239BE4E-C6DE-4889-BC76-4A6F5D7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217"/>
      <w:ind w:left="811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102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02" w:firstLine="7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Musa ÖZMEDİR</dc:creator>
  <cp:lastModifiedBy>Şebnem GÜNGÖR</cp:lastModifiedBy>
  <cp:revision>2</cp:revision>
  <dcterms:created xsi:type="dcterms:W3CDTF">2021-10-20T10:37:00Z</dcterms:created>
  <dcterms:modified xsi:type="dcterms:W3CDTF">2021-10-20T10:37:00Z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2021-06-21T00:00:00Z</vt:filetime>
  </property>
</Properties>
</file>