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55E57" w14:textId="77777777" w:rsidR="0092424F" w:rsidRDefault="0092424F" w:rsidP="00154A9C">
      <w:pPr>
        <w:pStyle w:val="Balk1"/>
        <w:spacing w:before="0"/>
        <w:ind w:left="0"/>
        <w:jc w:val="center"/>
      </w:pPr>
    </w:p>
    <w:p w14:paraId="04308F86" w14:textId="77777777" w:rsidR="0092424F" w:rsidRDefault="0092424F" w:rsidP="00154A9C">
      <w:pPr>
        <w:pStyle w:val="Balk1"/>
        <w:spacing w:before="0"/>
        <w:ind w:left="0"/>
        <w:jc w:val="center"/>
      </w:pPr>
    </w:p>
    <w:p w14:paraId="2ACBA345" w14:textId="77777777" w:rsidR="0092424F" w:rsidRDefault="0092424F" w:rsidP="00154A9C">
      <w:pPr>
        <w:pStyle w:val="Balk1"/>
        <w:spacing w:before="0"/>
        <w:ind w:left="0"/>
        <w:jc w:val="center"/>
      </w:pPr>
    </w:p>
    <w:p w14:paraId="70B9CF2D" w14:textId="77777777" w:rsidR="0092424F" w:rsidRDefault="0092424F" w:rsidP="00154A9C">
      <w:pPr>
        <w:pStyle w:val="Balk1"/>
        <w:spacing w:before="0"/>
        <w:ind w:left="0"/>
        <w:jc w:val="center"/>
      </w:pPr>
    </w:p>
    <w:p w14:paraId="7F190CE6" w14:textId="77777777" w:rsidR="0092424F" w:rsidRDefault="0092424F" w:rsidP="00154A9C">
      <w:pPr>
        <w:pStyle w:val="Balk1"/>
        <w:spacing w:before="0"/>
        <w:ind w:left="0"/>
        <w:jc w:val="center"/>
      </w:pPr>
    </w:p>
    <w:p w14:paraId="4317311E" w14:textId="77777777" w:rsidR="0092424F" w:rsidRDefault="0092424F" w:rsidP="00154A9C">
      <w:pPr>
        <w:pStyle w:val="Balk1"/>
        <w:spacing w:before="0"/>
        <w:ind w:left="0"/>
        <w:jc w:val="center"/>
      </w:pPr>
    </w:p>
    <w:p w14:paraId="5FFC88EA" w14:textId="77777777" w:rsidR="0092424F" w:rsidRDefault="0092424F" w:rsidP="00154A9C">
      <w:pPr>
        <w:pStyle w:val="Balk1"/>
        <w:spacing w:before="0"/>
        <w:ind w:left="0"/>
        <w:jc w:val="center"/>
      </w:pPr>
    </w:p>
    <w:p w14:paraId="61E8737F" w14:textId="77777777" w:rsidR="0092424F" w:rsidRDefault="0092424F" w:rsidP="00154A9C">
      <w:pPr>
        <w:pStyle w:val="Balk1"/>
        <w:spacing w:before="0"/>
        <w:ind w:left="0"/>
        <w:jc w:val="center"/>
      </w:pPr>
    </w:p>
    <w:p w14:paraId="7E172824" w14:textId="77777777" w:rsidR="0092424F" w:rsidRDefault="0092424F" w:rsidP="00154A9C">
      <w:pPr>
        <w:pStyle w:val="Balk1"/>
        <w:spacing w:before="0"/>
        <w:ind w:left="0"/>
        <w:jc w:val="center"/>
      </w:pPr>
    </w:p>
    <w:p w14:paraId="197297D3" w14:textId="77777777" w:rsidR="0092424F" w:rsidRDefault="0092424F" w:rsidP="00154A9C">
      <w:pPr>
        <w:pStyle w:val="Balk1"/>
        <w:spacing w:before="0"/>
        <w:ind w:left="0"/>
        <w:jc w:val="center"/>
      </w:pPr>
    </w:p>
    <w:p w14:paraId="0A028BC9" w14:textId="77777777" w:rsidR="009946DE" w:rsidRDefault="008C01B4" w:rsidP="00154A9C">
      <w:pPr>
        <w:spacing w:before="77"/>
        <w:ind w:left="2848" w:right="4288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T.C.</w:t>
      </w:r>
    </w:p>
    <w:p w14:paraId="0A028BCA" w14:textId="77777777" w:rsidR="009946DE" w:rsidRDefault="009946DE" w:rsidP="00154A9C">
      <w:pPr>
        <w:pStyle w:val="GvdeMetni"/>
        <w:jc w:val="center"/>
        <w:rPr>
          <w:b/>
          <w:sz w:val="21"/>
        </w:rPr>
      </w:pPr>
    </w:p>
    <w:p w14:paraId="0A028BCC" w14:textId="05952146" w:rsidR="009946DE" w:rsidRDefault="008C01B4" w:rsidP="00347381">
      <w:pPr>
        <w:pStyle w:val="P68B1DB1-Normal1"/>
        <w:spacing w:before="1" w:line="451" w:lineRule="auto"/>
        <w:ind w:left="116" w:right="1546" w:firstLine="869"/>
        <w:jc w:val="center"/>
        <w:sectPr w:rsidR="009946DE">
          <w:type w:val="continuous"/>
          <w:pgSz w:w="11910" w:h="16840"/>
          <w:pgMar w:top="1320" w:right="1420" w:bottom="280" w:left="1300" w:header="708" w:footer="708" w:gutter="0"/>
          <w:cols w:num="2" w:space="708" w:equalWidth="0">
            <w:col w:w="715" w:space="845"/>
            <w:col w:w="7630"/>
          </w:cols>
        </w:sectPr>
      </w:pPr>
      <w:r>
        <w:t xml:space="preserve">ISTANBUL MEDIPOL UNIVERSITY </w:t>
      </w:r>
      <w:r w:rsidR="00A944C6">
        <w:t xml:space="preserve">  </w:t>
      </w:r>
      <w:r>
        <w:t xml:space="preserve">ACADEMIC UPGRADE AND APPOINTMENT </w:t>
      </w:r>
      <w:r w:rsidR="00E37DA3">
        <w:t xml:space="preserve">    </w:t>
      </w:r>
      <w:r>
        <w:t>INSTRUCTION*</w:t>
      </w:r>
    </w:p>
    <w:p w14:paraId="0A028BCD" w14:textId="77777777" w:rsidR="009946DE" w:rsidRDefault="009946DE">
      <w:pPr>
        <w:pStyle w:val="GvdeMetni"/>
        <w:spacing w:before="9"/>
        <w:rPr>
          <w:b/>
          <w:sz w:val="12"/>
        </w:rPr>
      </w:pPr>
    </w:p>
    <w:p w14:paraId="5636F018" w14:textId="17E28C91" w:rsidR="0092424F" w:rsidRDefault="0092424F" w:rsidP="00E97F79">
      <w:pPr>
        <w:pStyle w:val="GvdeMetni"/>
        <w:spacing w:before="90" w:line="276" w:lineRule="auto"/>
        <w:ind w:left="116" w:right="82"/>
        <w:jc w:val="center"/>
        <w:rPr>
          <w:b/>
        </w:rPr>
      </w:pPr>
      <w:proofErr w:type="spellStart"/>
      <w:r>
        <w:rPr>
          <w:b/>
        </w:rPr>
        <w:t>Aim</w:t>
      </w:r>
      <w:proofErr w:type="spellEnd"/>
    </w:p>
    <w:p w14:paraId="0A028BCE" w14:textId="2FD97062" w:rsidR="009946DE" w:rsidRDefault="008C01B4">
      <w:pPr>
        <w:pStyle w:val="GvdeMetni"/>
        <w:spacing w:before="90" w:line="276" w:lineRule="auto"/>
        <w:ind w:left="116" w:right="82"/>
      </w:pPr>
      <w:r>
        <w:rPr>
          <w:b/>
        </w:rPr>
        <w:t>A</w:t>
      </w:r>
      <w:r w:rsidR="00E97F79">
        <w:rPr>
          <w:b/>
        </w:rPr>
        <w:t xml:space="preserve">RTICLE </w:t>
      </w:r>
      <w:r>
        <w:rPr>
          <w:b/>
        </w:rPr>
        <w:t>1</w:t>
      </w:r>
      <w:r>
        <w:t xml:space="preserve">- </w:t>
      </w:r>
      <w:proofErr w:type="spellStart"/>
      <w:r>
        <w:t>The</w:t>
      </w:r>
      <w:proofErr w:type="spellEnd"/>
      <w:r>
        <w:t xml:space="preserve"> </w:t>
      </w:r>
      <w:proofErr w:type="spellStart"/>
      <w:r w:rsidR="00154A9C">
        <w:t>aim</w:t>
      </w:r>
      <w:proofErr w:type="spellEnd"/>
      <w:r w:rsidR="00154A9C">
        <w:t xml:space="preserve"> </w:t>
      </w:r>
      <w:r>
        <w:t xml:space="preserve">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; </w:t>
      </w:r>
      <w:r w:rsidR="00E37DA3">
        <w:t xml:space="preserve">is </w:t>
      </w:r>
      <w:proofErr w:type="spellStart"/>
      <w:r w:rsidR="00E37DA3">
        <w:t>t</w:t>
      </w:r>
      <w:r>
        <w:t>o</w:t>
      </w:r>
      <w:proofErr w:type="spellEnd"/>
      <w:r>
        <w:t xml:space="preserve"> </w:t>
      </w:r>
      <w:proofErr w:type="spellStart"/>
      <w:r>
        <w:t>regulate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criteria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applied</w:t>
      </w:r>
      <w:proofErr w:type="spellEnd"/>
      <w:r>
        <w:t xml:space="preserve"> in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promotion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appointments</w:t>
      </w:r>
      <w:proofErr w:type="spellEnd"/>
      <w:r>
        <w:t xml:space="preserve"> at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>.</w:t>
      </w:r>
    </w:p>
    <w:p w14:paraId="0A028BCF" w14:textId="77777777" w:rsidR="009946DE" w:rsidRDefault="009946DE">
      <w:pPr>
        <w:pStyle w:val="GvdeMetni"/>
        <w:rPr>
          <w:sz w:val="26"/>
        </w:rPr>
      </w:pPr>
    </w:p>
    <w:p w14:paraId="0A028BD0" w14:textId="77777777" w:rsidR="009946DE" w:rsidRDefault="008C01B4" w:rsidP="00E97F79">
      <w:pPr>
        <w:pStyle w:val="Balk1"/>
        <w:spacing w:before="225"/>
        <w:jc w:val="center"/>
      </w:pPr>
      <w:proofErr w:type="spellStart"/>
      <w:r>
        <w:t>Scope</w:t>
      </w:r>
      <w:proofErr w:type="spellEnd"/>
    </w:p>
    <w:p w14:paraId="0A028BD1" w14:textId="77777777" w:rsidR="009946DE" w:rsidRDefault="009946DE">
      <w:pPr>
        <w:pStyle w:val="GvdeMetni"/>
        <w:spacing w:before="5"/>
        <w:rPr>
          <w:b/>
          <w:sz w:val="20"/>
        </w:rPr>
      </w:pPr>
    </w:p>
    <w:p w14:paraId="0A028BD2" w14:textId="713D4F4C" w:rsidR="009946DE" w:rsidRDefault="008C01B4">
      <w:pPr>
        <w:pStyle w:val="GvdeMetni"/>
        <w:spacing w:line="278" w:lineRule="auto"/>
        <w:ind w:left="116" w:right="382"/>
      </w:pPr>
      <w:r>
        <w:rPr>
          <w:b/>
        </w:rPr>
        <w:t>A</w:t>
      </w:r>
      <w:r w:rsidR="00A944C6">
        <w:rPr>
          <w:b/>
        </w:rPr>
        <w:t>RTICLE</w:t>
      </w:r>
      <w:r>
        <w:rPr>
          <w:b/>
        </w:rPr>
        <w:t xml:space="preserve"> 2-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criteria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promotions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appointments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Assistant</w:t>
      </w:r>
      <w:proofErr w:type="spellEnd"/>
      <w:r>
        <w:t xml:space="preserve"> </w:t>
      </w:r>
      <w:proofErr w:type="spellStart"/>
      <w:r>
        <w:t>Professor</w:t>
      </w:r>
      <w:proofErr w:type="spellEnd"/>
      <w:r>
        <w:t xml:space="preserve">, </w:t>
      </w:r>
      <w:proofErr w:type="spellStart"/>
      <w:r>
        <w:t>Associate</w:t>
      </w:r>
      <w:proofErr w:type="spellEnd"/>
      <w:r>
        <w:t xml:space="preserve"> </w:t>
      </w:r>
      <w:proofErr w:type="spellStart"/>
      <w:r>
        <w:t>Professor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Professor</w:t>
      </w:r>
      <w:proofErr w:type="spellEnd"/>
      <w:r>
        <w:t xml:space="preserve"> </w:t>
      </w:r>
      <w:proofErr w:type="spellStart"/>
      <w:r>
        <w:t>positions</w:t>
      </w:r>
      <w:proofErr w:type="spellEnd"/>
      <w:r>
        <w:t xml:space="preserve"> at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>.</w:t>
      </w:r>
    </w:p>
    <w:p w14:paraId="0A028BD3" w14:textId="77777777" w:rsidR="009946DE" w:rsidRDefault="008C01B4" w:rsidP="00E97F79">
      <w:pPr>
        <w:pStyle w:val="Balk1"/>
        <w:spacing w:before="201"/>
        <w:jc w:val="center"/>
      </w:pPr>
      <w:r>
        <w:t>Base</w:t>
      </w:r>
    </w:p>
    <w:p w14:paraId="0A028BD4" w14:textId="77777777" w:rsidR="009946DE" w:rsidRDefault="009946DE">
      <w:pPr>
        <w:pStyle w:val="GvdeMetni"/>
        <w:spacing w:before="7"/>
        <w:rPr>
          <w:b/>
          <w:sz w:val="20"/>
        </w:rPr>
      </w:pPr>
    </w:p>
    <w:p w14:paraId="0A028BD5" w14:textId="344D7AA9" w:rsidR="009946DE" w:rsidRDefault="008C01B4">
      <w:pPr>
        <w:pStyle w:val="GvdeMetni"/>
        <w:spacing w:line="276" w:lineRule="auto"/>
        <w:ind w:left="116" w:right="968"/>
      </w:pPr>
      <w:r>
        <w:rPr>
          <w:b/>
        </w:rPr>
        <w:t>A</w:t>
      </w:r>
      <w:r w:rsidR="00A944C6">
        <w:rPr>
          <w:b/>
        </w:rPr>
        <w:t>RTICLE</w:t>
      </w:r>
      <w:r>
        <w:rPr>
          <w:b/>
        </w:rPr>
        <w:t xml:space="preserve"> 3</w:t>
      </w:r>
      <w:r>
        <w:t xml:space="preserve">-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No. 2547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on </w:t>
      </w:r>
      <w:proofErr w:type="spellStart"/>
      <w:r>
        <w:t>Promotion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Appointment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Members</w:t>
      </w:r>
      <w:proofErr w:type="spellEnd"/>
      <w:r>
        <w:t>.</w:t>
      </w:r>
    </w:p>
    <w:p w14:paraId="0A028BD6" w14:textId="77777777" w:rsidR="009946DE" w:rsidRDefault="008C01B4" w:rsidP="00E97F79">
      <w:pPr>
        <w:pStyle w:val="Balk1"/>
        <w:spacing w:before="207"/>
        <w:jc w:val="center"/>
      </w:pPr>
      <w:r>
        <w:t xml:space="preserve">Basic </w:t>
      </w:r>
      <w:proofErr w:type="spellStart"/>
      <w:r>
        <w:t>Principles</w:t>
      </w:r>
      <w:proofErr w:type="spellEnd"/>
    </w:p>
    <w:p w14:paraId="0A028BD7" w14:textId="77777777" w:rsidR="009946DE" w:rsidRDefault="009946DE">
      <w:pPr>
        <w:pStyle w:val="GvdeMetni"/>
        <w:spacing w:before="4"/>
        <w:rPr>
          <w:b/>
          <w:sz w:val="20"/>
        </w:rPr>
      </w:pPr>
    </w:p>
    <w:p w14:paraId="0A028BD8" w14:textId="3AB2196B" w:rsidR="009946DE" w:rsidRDefault="008C01B4">
      <w:pPr>
        <w:pStyle w:val="GvdeMetni"/>
        <w:spacing w:before="1" w:line="276" w:lineRule="auto"/>
        <w:ind w:left="116" w:right="609"/>
      </w:pPr>
      <w:r>
        <w:rPr>
          <w:b/>
        </w:rPr>
        <w:t>A</w:t>
      </w:r>
      <w:r w:rsidR="00A944C6">
        <w:rPr>
          <w:b/>
        </w:rPr>
        <w:t>RTICLE</w:t>
      </w:r>
      <w:r>
        <w:rPr>
          <w:b/>
        </w:rPr>
        <w:t xml:space="preserve"> 4-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 w:rsidR="004377EE">
        <w:t>considered</w:t>
      </w:r>
      <w:proofErr w:type="spellEnd"/>
      <w:r>
        <w:t xml:space="preserve"> in </w:t>
      </w:r>
      <w:proofErr w:type="spellStart"/>
      <w:r w:rsidR="00A74E00">
        <w:t>using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Promotion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Appointment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set </w:t>
      </w:r>
      <w:proofErr w:type="spellStart"/>
      <w:r>
        <w:t>out</w:t>
      </w:r>
      <w:proofErr w:type="spellEnd"/>
      <w:r>
        <w:t xml:space="preserve"> </w:t>
      </w:r>
      <w:proofErr w:type="spellStart"/>
      <w:r>
        <w:t>below</w:t>
      </w:r>
      <w:proofErr w:type="spellEnd"/>
      <w:r>
        <w:t>.</w:t>
      </w:r>
    </w:p>
    <w:p w14:paraId="0A028BD9" w14:textId="39F5472A" w:rsidR="009946DE" w:rsidRDefault="008C01B4">
      <w:pPr>
        <w:pStyle w:val="P68B1DB1-ListParagraph2"/>
        <w:numPr>
          <w:ilvl w:val="1"/>
          <w:numId w:val="4"/>
        </w:numPr>
        <w:tabs>
          <w:tab w:val="left" w:pos="1245"/>
        </w:tabs>
        <w:spacing w:before="202" w:line="276" w:lineRule="auto"/>
        <w:ind w:right="720" w:firstLine="708"/>
      </w:pPr>
      <w:proofErr w:type="spellStart"/>
      <w:r>
        <w:t>The</w:t>
      </w:r>
      <w:proofErr w:type="spellEnd"/>
      <w:r>
        <w:t xml:space="preserve"> minimum </w:t>
      </w:r>
      <w:proofErr w:type="spellStart"/>
      <w:r>
        <w:t>criteria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promotion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appointment</w:t>
      </w:r>
      <w:proofErr w:type="spellEnd"/>
      <w:r>
        <w:t xml:space="preserve"> </w:t>
      </w:r>
      <w:proofErr w:type="spellStart"/>
      <w:r>
        <w:t>determine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criteria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 w:rsidR="00A74E00">
        <w:t>Istanbul</w:t>
      </w:r>
      <w:proofErr w:type="spellEnd"/>
      <w:r w:rsidR="00A74E00">
        <w:t xml:space="preserve"> </w:t>
      </w:r>
      <w:proofErr w:type="spellStart"/>
      <w:r w:rsidR="00A74E00">
        <w:t>Medipol</w:t>
      </w:r>
      <w:proofErr w:type="spellEnd"/>
      <w:r w:rsidR="00A74E00">
        <w:t xml:space="preserve"> </w:t>
      </w:r>
      <w:proofErr w:type="spellStart"/>
      <w:r w:rsidR="00A74E00">
        <w:t>University</w:t>
      </w:r>
      <w:proofErr w:type="spellEnd"/>
      <w:r w:rsidR="00A74E00">
        <w:t xml:space="preserve"> </w:t>
      </w:r>
      <w:proofErr w:type="spellStart"/>
      <w:r w:rsidR="00A74E00">
        <w:t>faculty</w:t>
      </w:r>
      <w:proofErr w:type="spellEnd"/>
      <w:r w:rsidR="00A74E00">
        <w:t xml:space="preserve"> </w:t>
      </w:r>
      <w:proofErr w:type="spellStart"/>
      <w:r w:rsidR="00A74E00">
        <w:t>members</w:t>
      </w:r>
      <w:proofErr w:type="spellEnd"/>
      <w:r>
        <w:t>.</w:t>
      </w:r>
    </w:p>
    <w:p w14:paraId="0A028BDA" w14:textId="77777777" w:rsidR="009946DE" w:rsidRDefault="008C01B4">
      <w:pPr>
        <w:pStyle w:val="P68B1DB1-ListParagraph2"/>
        <w:numPr>
          <w:ilvl w:val="1"/>
          <w:numId w:val="4"/>
        </w:numPr>
        <w:tabs>
          <w:tab w:val="left" w:pos="1245"/>
        </w:tabs>
        <w:spacing w:before="202" w:line="276" w:lineRule="auto"/>
        <w:ind w:right="201" w:firstLine="708"/>
        <w:jc w:val="both"/>
      </w:pPr>
      <w:proofErr w:type="spellStart"/>
      <w:r>
        <w:t>The</w:t>
      </w:r>
      <w:proofErr w:type="spellEnd"/>
      <w:r>
        <w:t xml:space="preserve"> minimum </w:t>
      </w:r>
      <w:proofErr w:type="spellStart"/>
      <w:r>
        <w:t>criteria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Promotion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Appointment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pre-review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of </w:t>
      </w:r>
      <w:proofErr w:type="spellStart"/>
      <w:r>
        <w:t>applications</w:t>
      </w:r>
      <w:proofErr w:type="spellEnd"/>
      <w:r>
        <w:t xml:space="preserve">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criteria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not a </w:t>
      </w:r>
      <w:proofErr w:type="spellStart"/>
      <w:r>
        <w:t>stand-alone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element. Meeting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criteria</w:t>
      </w:r>
      <w:proofErr w:type="spellEnd"/>
      <w:r>
        <w:t xml:space="preserve"> is </w:t>
      </w:r>
      <w:proofErr w:type="spellStart"/>
      <w:r>
        <w:t>only</w:t>
      </w:r>
      <w:proofErr w:type="spellEnd"/>
      <w:r>
        <w:t xml:space="preserve"> a </w:t>
      </w:r>
      <w:proofErr w:type="spellStart"/>
      <w:r>
        <w:t>prerequisite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promotions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assignments</w:t>
      </w:r>
      <w:proofErr w:type="spellEnd"/>
      <w:r>
        <w:t>.</w:t>
      </w:r>
    </w:p>
    <w:p w14:paraId="0A028BDB" w14:textId="74917469" w:rsidR="009946DE" w:rsidRDefault="008C01B4">
      <w:pPr>
        <w:pStyle w:val="P68B1DB1-ListParagraph2"/>
        <w:numPr>
          <w:ilvl w:val="1"/>
          <w:numId w:val="4"/>
        </w:numPr>
        <w:tabs>
          <w:tab w:val="left" w:pos="1245"/>
        </w:tabs>
        <w:spacing w:before="202" w:line="276" w:lineRule="auto"/>
        <w:ind w:right="655" w:firstLine="708"/>
      </w:pPr>
      <w:r>
        <w:t xml:space="preserve">A </w:t>
      </w:r>
      <w:proofErr w:type="spellStart"/>
      <w:r>
        <w:t>detailed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analytical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 w:rsidR="00A74E00">
        <w:t>candidate's</w:t>
      </w:r>
      <w:proofErr w:type="spellEnd"/>
      <w:r w:rsidR="00A74E00">
        <w:t xml:space="preserve"> </w:t>
      </w:r>
      <w:proofErr w:type="spellStart"/>
      <w:r w:rsidR="00A74E00">
        <w:t>academic</w:t>
      </w:r>
      <w:proofErr w:type="spellEnd"/>
      <w:r w:rsidR="00A74E00">
        <w:t xml:space="preserve"> </w:t>
      </w:r>
      <w:proofErr w:type="spellStart"/>
      <w:r w:rsidR="00A74E00">
        <w:t>qualification</w:t>
      </w:r>
      <w:proofErr w:type="spellEnd"/>
      <w:r>
        <w:t xml:space="preserve"> is </w:t>
      </w:r>
      <w:proofErr w:type="spellStart"/>
      <w:r>
        <w:t>mandatory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of </w:t>
      </w:r>
      <w:proofErr w:type="spellStart"/>
      <w:r>
        <w:t>applications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candidate's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performance</w:t>
      </w:r>
      <w:proofErr w:type="spellEnd"/>
      <w:r>
        <w:t xml:space="preserve">, </w:t>
      </w:r>
      <w:proofErr w:type="spellStart"/>
      <w:r>
        <w:t>contribution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, </w:t>
      </w:r>
      <w:proofErr w:type="spellStart"/>
      <w:r>
        <w:t>publications</w:t>
      </w:r>
      <w:proofErr w:type="spellEnd"/>
      <w:r>
        <w:t xml:space="preserve">,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, </w:t>
      </w:r>
      <w:proofErr w:type="spellStart"/>
      <w:r>
        <w:t>contributions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 w:rsidR="004377EE">
        <w:t>considered</w:t>
      </w:r>
      <w:proofErr w:type="spellEnd"/>
      <w:r>
        <w:t>.</w:t>
      </w:r>
    </w:p>
    <w:p w14:paraId="0A028BDC" w14:textId="77777777" w:rsidR="009946DE" w:rsidRDefault="008C01B4" w:rsidP="00E97F79">
      <w:pPr>
        <w:pStyle w:val="Balk1"/>
        <w:spacing w:before="206"/>
        <w:jc w:val="center"/>
      </w:pPr>
      <w:r>
        <w:t>Application</w:t>
      </w:r>
    </w:p>
    <w:p w14:paraId="0A028BDD" w14:textId="77777777" w:rsidR="009946DE" w:rsidRDefault="009946DE">
      <w:pPr>
        <w:pStyle w:val="GvdeMetni"/>
        <w:spacing w:before="6"/>
        <w:rPr>
          <w:b/>
          <w:sz w:val="20"/>
        </w:rPr>
      </w:pPr>
    </w:p>
    <w:p w14:paraId="0A028BDE" w14:textId="0B2BDD34" w:rsidR="009946DE" w:rsidRDefault="008C01B4">
      <w:pPr>
        <w:pStyle w:val="GvdeMetni"/>
        <w:spacing w:before="1" w:line="276" w:lineRule="auto"/>
        <w:ind w:left="116" w:right="116"/>
      </w:pPr>
      <w:r>
        <w:rPr>
          <w:b/>
        </w:rPr>
        <w:t>A</w:t>
      </w:r>
      <w:r w:rsidR="00A944C6">
        <w:rPr>
          <w:b/>
        </w:rPr>
        <w:t>RTICLE</w:t>
      </w:r>
      <w:r>
        <w:rPr>
          <w:b/>
        </w:rPr>
        <w:t xml:space="preserve"> 5- </w:t>
      </w:r>
      <w:proofErr w:type="spellStart"/>
      <w:r>
        <w:t>Candidates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 </w:t>
      </w:r>
      <w:proofErr w:type="spellStart"/>
      <w:r>
        <w:t>positions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vacancy</w:t>
      </w:r>
      <w:proofErr w:type="spellEnd"/>
      <w:r>
        <w:t xml:space="preserve"> </w:t>
      </w:r>
      <w:proofErr w:type="spellStart"/>
      <w:r>
        <w:t>announcement</w:t>
      </w:r>
      <w:proofErr w:type="spellEnd"/>
      <w:r>
        <w:t xml:space="preserve">,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stipulated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No. 2547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on </w:t>
      </w:r>
      <w:proofErr w:type="spellStart"/>
      <w:r>
        <w:t>Promotion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Appointment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, </w:t>
      </w:r>
      <w:proofErr w:type="spellStart"/>
      <w:r>
        <w:t>fill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 Evaluation Form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"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Promotion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Appointment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"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submit</w:t>
      </w:r>
      <w:proofErr w:type="spellEnd"/>
      <w:r>
        <w:t xml:space="preserve"> it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unit</w:t>
      </w:r>
      <w:proofErr w:type="spellEnd"/>
      <w:r>
        <w:t>.</w:t>
      </w:r>
    </w:p>
    <w:p w14:paraId="0A028BDF" w14:textId="77777777" w:rsidR="009946DE" w:rsidRDefault="008C01B4" w:rsidP="00E97F79">
      <w:pPr>
        <w:pStyle w:val="Balk1"/>
        <w:spacing w:before="205"/>
        <w:jc w:val="center"/>
      </w:pPr>
      <w:proofErr w:type="spellStart"/>
      <w:r>
        <w:lastRenderedPageBreak/>
        <w:t>Conditions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Appointment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Assistant</w:t>
      </w:r>
      <w:proofErr w:type="spellEnd"/>
      <w:r>
        <w:t xml:space="preserve"> </w:t>
      </w:r>
      <w:proofErr w:type="spellStart"/>
      <w:r>
        <w:t>Professorship</w:t>
      </w:r>
      <w:proofErr w:type="spellEnd"/>
    </w:p>
    <w:p w14:paraId="0A028BE0" w14:textId="77777777" w:rsidR="009946DE" w:rsidRDefault="009946DE">
      <w:pPr>
        <w:pStyle w:val="GvdeMetni"/>
        <w:spacing w:before="7"/>
        <w:rPr>
          <w:b/>
          <w:sz w:val="20"/>
        </w:rPr>
      </w:pPr>
    </w:p>
    <w:p w14:paraId="0A028BE1" w14:textId="7CC2727A" w:rsidR="009946DE" w:rsidRDefault="008C01B4">
      <w:pPr>
        <w:pStyle w:val="GvdeMetni"/>
        <w:spacing w:before="1"/>
        <w:ind w:left="116"/>
      </w:pPr>
      <w:r>
        <w:rPr>
          <w:b/>
        </w:rPr>
        <w:t>A</w:t>
      </w:r>
      <w:r w:rsidR="00A944C6">
        <w:rPr>
          <w:b/>
        </w:rPr>
        <w:t>RTICLE</w:t>
      </w:r>
      <w:r>
        <w:rPr>
          <w:b/>
        </w:rPr>
        <w:t xml:space="preserve"> 6-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sought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candidates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appointed</w:t>
      </w:r>
      <w:proofErr w:type="spellEnd"/>
      <w:r>
        <w:t xml:space="preserve"> as </w:t>
      </w:r>
      <w:proofErr w:type="spellStart"/>
      <w:r>
        <w:t>assistant</w:t>
      </w:r>
      <w:proofErr w:type="spellEnd"/>
      <w:r>
        <w:t xml:space="preserve"> </w:t>
      </w:r>
      <w:proofErr w:type="spellStart"/>
      <w:r>
        <w:t>professors</w:t>
      </w:r>
      <w:proofErr w:type="spellEnd"/>
      <w:r>
        <w:t>:</w:t>
      </w:r>
    </w:p>
    <w:p w14:paraId="0A028BE2" w14:textId="77777777" w:rsidR="009946DE" w:rsidRDefault="009946DE">
      <w:pPr>
        <w:sectPr w:rsidR="009946DE">
          <w:type w:val="continuous"/>
          <w:pgSz w:w="11910" w:h="16840"/>
          <w:pgMar w:top="1320" w:right="1420" w:bottom="280" w:left="1300" w:header="708" w:footer="708" w:gutter="0"/>
          <w:cols w:space="708"/>
        </w:sectPr>
      </w:pPr>
    </w:p>
    <w:p w14:paraId="0A028BE3" w14:textId="763AFD63" w:rsidR="009946DE" w:rsidRDefault="008C01B4">
      <w:pPr>
        <w:pStyle w:val="P68B1DB1-ListParagraph2"/>
        <w:numPr>
          <w:ilvl w:val="0"/>
          <w:numId w:val="3"/>
        </w:numPr>
        <w:tabs>
          <w:tab w:val="left" w:pos="837"/>
        </w:tabs>
        <w:spacing w:before="69"/>
      </w:pPr>
      <w:proofErr w:type="spellStart"/>
      <w:r>
        <w:lastRenderedPageBreak/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general </w:t>
      </w:r>
      <w:proofErr w:type="spellStart"/>
      <w:r>
        <w:t>conditions</w:t>
      </w:r>
      <w:proofErr w:type="spellEnd"/>
      <w:r>
        <w:t xml:space="preserve"> in </w:t>
      </w:r>
      <w:proofErr w:type="spellStart"/>
      <w:r>
        <w:t>Article</w:t>
      </w:r>
      <w:proofErr w:type="spellEnd"/>
      <w:r>
        <w:t xml:space="preserve"> 48 of </w:t>
      </w:r>
      <w:proofErr w:type="spellStart"/>
      <w:r>
        <w:t>Law</w:t>
      </w:r>
      <w:proofErr w:type="spellEnd"/>
      <w:r>
        <w:t xml:space="preserve"> No. 657.</w:t>
      </w:r>
    </w:p>
    <w:p w14:paraId="0A028BE4" w14:textId="77777777" w:rsidR="009946DE" w:rsidRDefault="008C01B4">
      <w:pPr>
        <w:pStyle w:val="P68B1DB1-ListParagraph2"/>
        <w:numPr>
          <w:ilvl w:val="0"/>
          <w:numId w:val="3"/>
        </w:numPr>
        <w:tabs>
          <w:tab w:val="left" w:pos="837"/>
        </w:tabs>
        <w:ind w:right="115"/>
      </w:pPr>
      <w:proofErr w:type="spellStart"/>
      <w:r>
        <w:t>Having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 of </w:t>
      </w:r>
      <w:proofErr w:type="spellStart"/>
      <w:r>
        <w:t>Doctor</w:t>
      </w:r>
      <w:proofErr w:type="spellEnd"/>
      <w:r>
        <w:t xml:space="preserve">, </w:t>
      </w:r>
      <w:proofErr w:type="spellStart"/>
      <w:r>
        <w:t>Specialization</w:t>
      </w:r>
      <w:proofErr w:type="spellEnd"/>
      <w:r>
        <w:t xml:space="preserve"> in </w:t>
      </w:r>
      <w:proofErr w:type="spellStart"/>
      <w:r>
        <w:t>Medicine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Dentistry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proficiency</w:t>
      </w:r>
      <w:proofErr w:type="spellEnd"/>
      <w:r>
        <w:t xml:space="preserve"> in art;</w:t>
      </w:r>
    </w:p>
    <w:p w14:paraId="0A028BE5" w14:textId="36EE8A52" w:rsidR="009946DE" w:rsidRDefault="008C01B4">
      <w:pPr>
        <w:pStyle w:val="P68B1DB1-ListParagraph2"/>
        <w:numPr>
          <w:ilvl w:val="0"/>
          <w:numId w:val="3"/>
        </w:numPr>
        <w:tabs>
          <w:tab w:val="left" w:pos="837"/>
        </w:tabs>
        <w:ind w:right="117"/>
        <w:jc w:val="both"/>
      </w:pPr>
      <w:proofErr w:type="spellStart"/>
      <w:r>
        <w:t>Succeeding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covering</w:t>
      </w:r>
      <w:proofErr w:type="spellEnd"/>
      <w:r>
        <w:t xml:space="preserve"> a </w:t>
      </w:r>
      <w:proofErr w:type="spellStart"/>
      <w:r>
        <w:t>translation</w:t>
      </w:r>
      <w:proofErr w:type="spellEnd"/>
      <w:r>
        <w:t xml:space="preserve"> of 150-200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, </w:t>
      </w:r>
      <w:proofErr w:type="spellStart"/>
      <w:r>
        <w:t>from</w:t>
      </w:r>
      <w:proofErr w:type="spellEnd"/>
      <w:r>
        <w:t xml:space="preserve"> a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Turkish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held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candidate's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of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 </w:t>
      </w:r>
      <w:proofErr w:type="spellStart"/>
      <w:r>
        <w:t>jury</w:t>
      </w:r>
      <w:proofErr w:type="spellEnd"/>
      <w:r>
        <w:t xml:space="preserve"> of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, </w:t>
      </w:r>
      <w:proofErr w:type="spellStart"/>
      <w:r>
        <w:t>one</w:t>
      </w:r>
      <w:proofErr w:type="spellEnd"/>
      <w:r>
        <w:t xml:space="preserve"> of </w:t>
      </w:r>
      <w:proofErr w:type="spellStart"/>
      <w:r>
        <w:t>whom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a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member</w:t>
      </w:r>
      <w:proofErr w:type="spellEnd"/>
      <w:r>
        <w:t xml:space="preserve"> of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,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faculty</w:t>
      </w:r>
      <w:proofErr w:type="spellEnd"/>
      <w:r>
        <w:t xml:space="preserve"> board of </w:t>
      </w:r>
      <w:proofErr w:type="spellStart"/>
      <w:r>
        <w:t>directors</w:t>
      </w:r>
      <w:proofErr w:type="spellEnd"/>
      <w:r>
        <w:t xml:space="preserve">, </w:t>
      </w:r>
      <w:proofErr w:type="spellStart"/>
      <w:r>
        <w:t>by</w:t>
      </w:r>
      <w:proofErr w:type="spellEnd"/>
      <w:r>
        <w:t xml:space="preserve"> </w:t>
      </w:r>
      <w:proofErr w:type="spellStart"/>
      <w:r>
        <w:t>getting</w:t>
      </w:r>
      <w:proofErr w:type="spellEnd"/>
      <w:r>
        <w:t xml:space="preserve"> at </w:t>
      </w:r>
      <w:proofErr w:type="spellStart"/>
      <w:r>
        <w:t>least</w:t>
      </w:r>
      <w:proofErr w:type="spellEnd"/>
      <w:r>
        <w:t xml:space="preserve"> 50 </w:t>
      </w:r>
      <w:proofErr w:type="spellStart"/>
      <w:r>
        <w:t>points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of 100 </w:t>
      </w:r>
      <w:r w:rsidR="00A74E00">
        <w:t>tota</w:t>
      </w:r>
      <w:r>
        <w:t xml:space="preserve">l </w:t>
      </w:r>
      <w:proofErr w:type="spellStart"/>
      <w:r>
        <w:t>points</w:t>
      </w:r>
      <w:proofErr w:type="spellEnd"/>
      <w:r>
        <w:t>;</w:t>
      </w:r>
    </w:p>
    <w:p w14:paraId="0A028BE6" w14:textId="61D5E0F6" w:rsidR="009946DE" w:rsidRDefault="008C01B4">
      <w:pPr>
        <w:pStyle w:val="P68B1DB1-ListParagraph2"/>
        <w:numPr>
          <w:ilvl w:val="0"/>
          <w:numId w:val="3"/>
        </w:numPr>
        <w:tabs>
          <w:tab w:val="left" w:pos="837"/>
        </w:tabs>
        <w:ind w:right="114"/>
        <w:jc w:val="both"/>
      </w:pPr>
      <w:proofErr w:type="spellStart"/>
      <w:r>
        <w:t>To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minimum </w:t>
      </w:r>
      <w:proofErr w:type="spellStart"/>
      <w:r>
        <w:t>score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assistant</w:t>
      </w:r>
      <w:proofErr w:type="spellEnd"/>
      <w:r>
        <w:t xml:space="preserve"> </w:t>
      </w:r>
      <w:proofErr w:type="spellStart"/>
      <w:r>
        <w:t>professors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proofErr w:type="gramStart"/>
      <w:r>
        <w:t>Senate</w:t>
      </w:r>
      <w:proofErr w:type="spellEnd"/>
      <w:proofErr w:type="gramEnd"/>
      <w:r>
        <w:t xml:space="preserve">, </w:t>
      </w:r>
      <w:proofErr w:type="spellStart"/>
      <w:r>
        <w:t>one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 xml:space="preserve"> Evaluation </w:t>
      </w:r>
      <w:proofErr w:type="spellStart"/>
      <w:r>
        <w:t>criteria</w:t>
      </w:r>
      <w:proofErr w:type="spellEnd"/>
      <w:r>
        <w:t xml:space="preserve"> in Annex-1. </w:t>
      </w:r>
      <w:proofErr w:type="spellStart"/>
      <w:r>
        <w:t>This</w:t>
      </w:r>
      <w:proofErr w:type="spellEnd"/>
      <w:r>
        <w:t xml:space="preserve"> minimum </w:t>
      </w:r>
      <w:proofErr w:type="spellStart"/>
      <w:r>
        <w:t>score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de</w:t>
      </w:r>
      <w:r w:rsidR="00A74E00">
        <w:t>f</w:t>
      </w:r>
      <w:r>
        <w:t>ined</w:t>
      </w:r>
      <w:proofErr w:type="spellEnd"/>
      <w:r>
        <w:t xml:space="preserve"> </w:t>
      </w:r>
      <w:proofErr w:type="spellStart"/>
      <w:r>
        <w:t>differently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Senate</w:t>
      </w:r>
      <w:proofErr w:type="spellEnd"/>
      <w:r>
        <w:t xml:space="preserve">, </w:t>
      </w:r>
      <w:proofErr w:type="spellStart"/>
      <w:r>
        <w:t>depending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characteristics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>.</w:t>
      </w:r>
    </w:p>
    <w:p w14:paraId="0A028BE7" w14:textId="77777777" w:rsidR="009946DE" w:rsidRDefault="008C01B4">
      <w:pPr>
        <w:pStyle w:val="P68B1DB1-ListParagraph2"/>
        <w:numPr>
          <w:ilvl w:val="0"/>
          <w:numId w:val="3"/>
        </w:numPr>
        <w:tabs>
          <w:tab w:val="left" w:pos="837"/>
        </w:tabs>
        <w:ind w:right="121"/>
      </w:pPr>
      <w:proofErr w:type="spellStart"/>
      <w:r>
        <w:t>To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criteria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announced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announcement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</w:p>
    <w:p w14:paraId="0A028BE8" w14:textId="77777777" w:rsidR="009946DE" w:rsidRDefault="008C01B4" w:rsidP="00E97F79">
      <w:pPr>
        <w:pStyle w:val="Balk1"/>
        <w:spacing w:before="127"/>
        <w:jc w:val="center"/>
      </w:pPr>
      <w:proofErr w:type="spellStart"/>
      <w:r>
        <w:t>Conditions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Appointment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Assistant</w:t>
      </w:r>
      <w:proofErr w:type="spellEnd"/>
      <w:r>
        <w:t xml:space="preserve"> </w:t>
      </w:r>
      <w:proofErr w:type="spellStart"/>
      <w:r>
        <w:t>Professorship</w:t>
      </w:r>
      <w:proofErr w:type="spellEnd"/>
    </w:p>
    <w:p w14:paraId="0A028BE9" w14:textId="77777777" w:rsidR="009946DE" w:rsidRDefault="009946DE">
      <w:pPr>
        <w:pStyle w:val="GvdeMetni"/>
        <w:spacing w:before="6"/>
        <w:rPr>
          <w:b/>
          <w:sz w:val="20"/>
        </w:rPr>
      </w:pPr>
    </w:p>
    <w:p w14:paraId="0A028BEA" w14:textId="009A5BFF" w:rsidR="009946DE" w:rsidRDefault="008C01B4">
      <w:pPr>
        <w:pStyle w:val="GvdeMetni"/>
        <w:spacing w:before="1" w:line="276" w:lineRule="auto"/>
        <w:ind w:left="116"/>
      </w:pPr>
      <w:r>
        <w:rPr>
          <w:b/>
        </w:rPr>
        <w:t>A</w:t>
      </w:r>
      <w:r w:rsidR="00A944C6">
        <w:rPr>
          <w:b/>
        </w:rPr>
        <w:t>RTICLE</w:t>
      </w:r>
      <w:r>
        <w:rPr>
          <w:b/>
        </w:rPr>
        <w:t xml:space="preserve"> 7- </w:t>
      </w:r>
      <w:proofErr w:type="spellStart"/>
      <w:r>
        <w:t>Candidates</w:t>
      </w:r>
      <w:proofErr w:type="spellEnd"/>
      <w:r>
        <w:t xml:space="preserve"> </w:t>
      </w:r>
      <w:proofErr w:type="spellStart"/>
      <w:r>
        <w:t>applying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appointed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associate</w:t>
      </w:r>
      <w:proofErr w:type="spellEnd"/>
      <w:r>
        <w:t xml:space="preserve"> </w:t>
      </w:r>
      <w:proofErr w:type="spellStart"/>
      <w:r>
        <w:t>professor</w:t>
      </w:r>
      <w:proofErr w:type="spellEnd"/>
      <w:r>
        <w:t xml:space="preserve"> </w:t>
      </w:r>
      <w:proofErr w:type="spellStart"/>
      <w:r>
        <w:t>positions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minimum </w:t>
      </w:r>
      <w:proofErr w:type="spellStart"/>
      <w:r>
        <w:t>requirements</w:t>
      </w:r>
      <w:proofErr w:type="spellEnd"/>
      <w:r>
        <w:t>.</w:t>
      </w:r>
    </w:p>
    <w:p w14:paraId="0A028BEB" w14:textId="65241D80" w:rsidR="009946DE" w:rsidRDefault="008C01B4">
      <w:pPr>
        <w:pStyle w:val="P68B1DB1-ListParagraph2"/>
        <w:numPr>
          <w:ilvl w:val="0"/>
          <w:numId w:val="2"/>
        </w:numPr>
        <w:tabs>
          <w:tab w:val="left" w:pos="837"/>
        </w:tabs>
        <w:spacing w:before="118"/>
      </w:pP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general </w:t>
      </w:r>
      <w:proofErr w:type="spellStart"/>
      <w:r>
        <w:t>conditions</w:t>
      </w:r>
      <w:proofErr w:type="spellEnd"/>
      <w:r>
        <w:t xml:space="preserve"> in </w:t>
      </w:r>
      <w:proofErr w:type="spellStart"/>
      <w:r>
        <w:t>Article</w:t>
      </w:r>
      <w:proofErr w:type="spellEnd"/>
      <w:r>
        <w:t xml:space="preserve"> 48 of </w:t>
      </w:r>
      <w:proofErr w:type="spellStart"/>
      <w:r>
        <w:t>Law</w:t>
      </w:r>
      <w:proofErr w:type="spellEnd"/>
      <w:r>
        <w:t xml:space="preserve"> No. 657.</w:t>
      </w:r>
    </w:p>
    <w:p w14:paraId="0A028BEC" w14:textId="77777777" w:rsidR="009946DE" w:rsidRDefault="008C01B4">
      <w:pPr>
        <w:pStyle w:val="P68B1DB1-ListParagraph2"/>
        <w:numPr>
          <w:ilvl w:val="0"/>
          <w:numId w:val="2"/>
        </w:numPr>
        <w:tabs>
          <w:tab w:val="left" w:pos="837"/>
        </w:tabs>
        <w:spacing w:before="119"/>
      </w:pP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 of </w:t>
      </w:r>
      <w:proofErr w:type="spellStart"/>
      <w:r>
        <w:t>associate</w:t>
      </w:r>
      <w:proofErr w:type="spellEnd"/>
      <w:r>
        <w:t xml:space="preserve"> </w:t>
      </w:r>
      <w:proofErr w:type="spellStart"/>
      <w:r>
        <w:t>professor</w:t>
      </w:r>
      <w:proofErr w:type="spellEnd"/>
      <w:r>
        <w:t>.</w:t>
      </w:r>
    </w:p>
    <w:p w14:paraId="0A028BED" w14:textId="77777777" w:rsidR="009946DE" w:rsidRDefault="008C01B4">
      <w:pPr>
        <w:pStyle w:val="P68B1DB1-ListParagraph2"/>
        <w:numPr>
          <w:ilvl w:val="0"/>
          <w:numId w:val="2"/>
        </w:numPr>
        <w:tabs>
          <w:tab w:val="left" w:pos="837"/>
        </w:tabs>
        <w:spacing w:before="119"/>
        <w:ind w:right="117"/>
        <w:jc w:val="both"/>
      </w:pP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met </w:t>
      </w:r>
      <w:proofErr w:type="spellStart"/>
      <w:r>
        <w:t>the</w:t>
      </w:r>
      <w:proofErr w:type="spellEnd"/>
      <w:r>
        <w:t xml:space="preserve"> minimum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imposed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Interuniversity</w:t>
      </w:r>
      <w:proofErr w:type="spellEnd"/>
      <w:r>
        <w:t xml:space="preserve"> Board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associate</w:t>
      </w:r>
      <w:proofErr w:type="spellEnd"/>
      <w:r>
        <w:t xml:space="preserve"> </w:t>
      </w:r>
      <w:proofErr w:type="spellStart"/>
      <w:r>
        <w:t>professorship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.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hold</w:t>
      </w:r>
      <w:proofErr w:type="spellEnd"/>
      <w:r>
        <w:t xml:space="preserve"> a </w:t>
      </w:r>
      <w:proofErr w:type="spellStart"/>
      <w:r>
        <w:t>position</w:t>
      </w:r>
      <w:proofErr w:type="spellEnd"/>
      <w:r>
        <w:t xml:space="preserve"> </w:t>
      </w:r>
      <w:proofErr w:type="spellStart"/>
      <w:r>
        <w:t>equivalent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an </w:t>
      </w:r>
      <w:proofErr w:type="spellStart"/>
      <w:r>
        <w:t>associate</w:t>
      </w:r>
      <w:proofErr w:type="spellEnd"/>
      <w:r>
        <w:t xml:space="preserve"> </w:t>
      </w:r>
      <w:proofErr w:type="spellStart"/>
      <w:r>
        <w:t>professorship</w:t>
      </w:r>
      <w:proofErr w:type="spellEnd"/>
      <w:r>
        <w:t xml:space="preserve"> </w:t>
      </w:r>
      <w:proofErr w:type="spellStart"/>
      <w:r>
        <w:t>abroad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received</w:t>
      </w:r>
      <w:proofErr w:type="spellEnd"/>
      <w:r>
        <w:t xml:space="preserve"> a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indicating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Interuniversity</w:t>
      </w:r>
      <w:proofErr w:type="spellEnd"/>
      <w:r>
        <w:t xml:space="preserve"> Board has </w:t>
      </w:r>
      <w:proofErr w:type="spellStart"/>
      <w:r>
        <w:t>approved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equivalence</w:t>
      </w:r>
      <w:proofErr w:type="spellEnd"/>
      <w:r>
        <w:t>.</w:t>
      </w:r>
    </w:p>
    <w:p w14:paraId="0A028BEE" w14:textId="6CF2A54D" w:rsidR="009946DE" w:rsidRDefault="008C01B4">
      <w:pPr>
        <w:pStyle w:val="P68B1DB1-ListParagraph2"/>
        <w:numPr>
          <w:ilvl w:val="0"/>
          <w:numId w:val="2"/>
        </w:numPr>
        <w:tabs>
          <w:tab w:val="left" w:pos="837"/>
        </w:tabs>
        <w:spacing w:before="122" w:line="276" w:lineRule="auto"/>
        <w:ind w:right="130"/>
      </w:pPr>
      <w:proofErr w:type="spellStart"/>
      <w:r>
        <w:t>To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minimum </w:t>
      </w:r>
      <w:proofErr w:type="spellStart"/>
      <w:r>
        <w:t>score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assistant</w:t>
      </w:r>
      <w:proofErr w:type="spellEnd"/>
      <w:r>
        <w:t xml:space="preserve"> </w:t>
      </w:r>
      <w:proofErr w:type="spellStart"/>
      <w:r>
        <w:t>professors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proofErr w:type="gramStart"/>
      <w:r>
        <w:t>Senate</w:t>
      </w:r>
      <w:proofErr w:type="spellEnd"/>
      <w:proofErr w:type="gramEnd"/>
      <w:r>
        <w:t xml:space="preserve">, </w:t>
      </w:r>
      <w:proofErr w:type="spellStart"/>
      <w:r>
        <w:t>one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 xml:space="preserve"> Evaluation </w:t>
      </w:r>
      <w:proofErr w:type="spellStart"/>
      <w:r>
        <w:t>criteria</w:t>
      </w:r>
      <w:proofErr w:type="spellEnd"/>
      <w:r>
        <w:t xml:space="preserve"> in Annex-1. </w:t>
      </w:r>
      <w:proofErr w:type="spellStart"/>
      <w:r>
        <w:t>This</w:t>
      </w:r>
      <w:proofErr w:type="spellEnd"/>
      <w:r>
        <w:t xml:space="preserve"> minimum </w:t>
      </w:r>
      <w:proofErr w:type="spellStart"/>
      <w:r>
        <w:t>score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de</w:t>
      </w:r>
      <w:r w:rsidR="00A74E00">
        <w:t>f</w:t>
      </w:r>
      <w:r>
        <w:t>ined</w:t>
      </w:r>
      <w:proofErr w:type="spellEnd"/>
      <w:r>
        <w:t xml:space="preserve"> </w:t>
      </w:r>
      <w:proofErr w:type="spellStart"/>
      <w:r>
        <w:t>differently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Senate</w:t>
      </w:r>
      <w:proofErr w:type="spellEnd"/>
      <w:r>
        <w:t xml:space="preserve">, </w:t>
      </w:r>
      <w:proofErr w:type="spellStart"/>
      <w:r>
        <w:t>depending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characteristics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>.</w:t>
      </w:r>
    </w:p>
    <w:p w14:paraId="0A028BEF" w14:textId="77777777" w:rsidR="009946DE" w:rsidRDefault="008C01B4">
      <w:pPr>
        <w:pStyle w:val="P68B1DB1-ListParagraph2"/>
        <w:numPr>
          <w:ilvl w:val="0"/>
          <w:numId w:val="2"/>
        </w:numPr>
        <w:tabs>
          <w:tab w:val="left" w:pos="837"/>
        </w:tabs>
        <w:spacing w:line="276" w:lineRule="auto"/>
        <w:ind w:right="147"/>
      </w:pPr>
      <w:proofErr w:type="spellStart"/>
      <w:r>
        <w:t>To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criteria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announced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announcement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</w:p>
    <w:p w14:paraId="0A028BF0" w14:textId="77777777" w:rsidR="009946DE" w:rsidRDefault="008C01B4" w:rsidP="00E97F79">
      <w:pPr>
        <w:pStyle w:val="Balk1"/>
        <w:spacing w:before="206"/>
        <w:jc w:val="center"/>
      </w:pPr>
      <w:proofErr w:type="spellStart"/>
      <w:r>
        <w:t>Conditions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Promotion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Appointment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Professorship</w:t>
      </w:r>
      <w:proofErr w:type="spellEnd"/>
    </w:p>
    <w:p w14:paraId="0A028BF1" w14:textId="77777777" w:rsidR="009946DE" w:rsidRDefault="009946DE">
      <w:pPr>
        <w:pStyle w:val="GvdeMetni"/>
        <w:spacing w:before="4"/>
        <w:rPr>
          <w:b/>
          <w:sz w:val="20"/>
        </w:rPr>
      </w:pPr>
    </w:p>
    <w:p w14:paraId="0A028BF2" w14:textId="78666D9A" w:rsidR="009946DE" w:rsidRDefault="008C01B4">
      <w:pPr>
        <w:pStyle w:val="GvdeMetni"/>
        <w:spacing w:line="278" w:lineRule="auto"/>
        <w:ind w:left="116"/>
      </w:pPr>
      <w:r>
        <w:rPr>
          <w:b/>
        </w:rPr>
        <w:t>A</w:t>
      </w:r>
      <w:r w:rsidR="00A944C6">
        <w:rPr>
          <w:b/>
        </w:rPr>
        <w:t>RTICLE</w:t>
      </w:r>
      <w:r>
        <w:rPr>
          <w:b/>
        </w:rPr>
        <w:t xml:space="preserve"> 8-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promoted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appointed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professorship</w:t>
      </w:r>
      <w:proofErr w:type="spellEnd"/>
      <w:r>
        <w:t xml:space="preserve">,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No. 2547,</w:t>
      </w:r>
    </w:p>
    <w:p w14:paraId="0A028BF3" w14:textId="33BC68AB" w:rsidR="009946DE" w:rsidRDefault="008C01B4">
      <w:pPr>
        <w:pStyle w:val="P68B1DB1-ListParagraph2"/>
        <w:numPr>
          <w:ilvl w:val="0"/>
          <w:numId w:val="1"/>
        </w:numPr>
        <w:tabs>
          <w:tab w:val="left" w:pos="837"/>
        </w:tabs>
        <w:spacing w:before="197"/>
      </w:pP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general </w:t>
      </w:r>
      <w:proofErr w:type="spellStart"/>
      <w:r>
        <w:t>conditions</w:t>
      </w:r>
      <w:proofErr w:type="spellEnd"/>
      <w:r>
        <w:t xml:space="preserve"> in </w:t>
      </w:r>
      <w:proofErr w:type="spellStart"/>
      <w:r>
        <w:t>Article</w:t>
      </w:r>
      <w:proofErr w:type="spellEnd"/>
      <w:r>
        <w:t xml:space="preserve"> 48 of </w:t>
      </w:r>
      <w:proofErr w:type="spellStart"/>
      <w:r>
        <w:t>Law</w:t>
      </w:r>
      <w:proofErr w:type="spellEnd"/>
      <w:r>
        <w:t xml:space="preserve"> No. 657.</w:t>
      </w:r>
    </w:p>
    <w:p w14:paraId="0A028BF4" w14:textId="3E1CB969" w:rsidR="009946DE" w:rsidRDefault="008C01B4">
      <w:pPr>
        <w:pStyle w:val="P68B1DB1-ListParagraph2"/>
        <w:numPr>
          <w:ilvl w:val="0"/>
          <w:numId w:val="1"/>
        </w:numPr>
        <w:tabs>
          <w:tab w:val="left" w:pos="837"/>
        </w:tabs>
        <w:spacing w:before="40" w:line="276" w:lineRule="auto"/>
        <w:ind w:right="320"/>
      </w:pP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served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professorship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not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(2)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worked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of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art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vacant</w:t>
      </w:r>
      <w:proofErr w:type="spellEnd"/>
      <w:r>
        <w:t xml:space="preserve"> </w:t>
      </w:r>
      <w:proofErr w:type="spellStart"/>
      <w:r>
        <w:t>professorship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at 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five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receiving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 of </w:t>
      </w:r>
      <w:proofErr w:type="spellStart"/>
      <w:r>
        <w:t>Associate</w:t>
      </w:r>
      <w:proofErr w:type="spellEnd"/>
      <w:r>
        <w:t xml:space="preserve"> </w:t>
      </w:r>
      <w:proofErr w:type="spellStart"/>
      <w:r>
        <w:t>Professor</w:t>
      </w:r>
      <w:proofErr w:type="spellEnd"/>
      <w:r>
        <w:t>;</w:t>
      </w:r>
    </w:p>
    <w:p w14:paraId="0A028BF5" w14:textId="77777777" w:rsidR="009946DE" w:rsidRDefault="008C01B4">
      <w:pPr>
        <w:pStyle w:val="P68B1DB1-ListParagraph2"/>
        <w:numPr>
          <w:ilvl w:val="0"/>
          <w:numId w:val="1"/>
        </w:numPr>
        <w:tabs>
          <w:tab w:val="left" w:pos="837"/>
        </w:tabs>
        <w:spacing w:line="276" w:lineRule="auto"/>
        <w:ind w:right="233"/>
      </w:pP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publications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of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fields</w:t>
      </w:r>
      <w:proofErr w:type="spellEnd"/>
      <w:r>
        <w:t xml:space="preserve"> of </w:t>
      </w:r>
      <w:proofErr w:type="spellStart"/>
      <w:r>
        <w:t>application</w:t>
      </w:r>
      <w:proofErr w:type="spellEnd"/>
      <w:r>
        <w:t>,</w:t>
      </w:r>
    </w:p>
    <w:p w14:paraId="0A028BF6" w14:textId="31DAE279" w:rsidR="009946DE" w:rsidRDefault="008C01B4">
      <w:pPr>
        <w:pStyle w:val="P68B1DB1-ListParagraph2"/>
        <w:numPr>
          <w:ilvl w:val="0"/>
          <w:numId w:val="1"/>
        </w:numPr>
        <w:tabs>
          <w:tab w:val="left" w:pos="837"/>
        </w:tabs>
        <w:spacing w:before="2" w:line="276" w:lineRule="auto"/>
        <w:ind w:right="130"/>
      </w:pPr>
      <w:proofErr w:type="spellStart"/>
      <w:r>
        <w:t>To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minimum </w:t>
      </w:r>
      <w:proofErr w:type="spellStart"/>
      <w:r>
        <w:t>score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assistant</w:t>
      </w:r>
      <w:proofErr w:type="spellEnd"/>
      <w:r>
        <w:t xml:space="preserve"> </w:t>
      </w:r>
      <w:proofErr w:type="spellStart"/>
      <w:r>
        <w:t>professors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proofErr w:type="gramStart"/>
      <w:r>
        <w:t>Senate</w:t>
      </w:r>
      <w:proofErr w:type="spellEnd"/>
      <w:proofErr w:type="gramEnd"/>
      <w:r>
        <w:t xml:space="preserve">, </w:t>
      </w:r>
      <w:proofErr w:type="spellStart"/>
      <w:r>
        <w:t>one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 xml:space="preserve"> Evaluation </w:t>
      </w:r>
      <w:proofErr w:type="spellStart"/>
      <w:r>
        <w:t>criteria</w:t>
      </w:r>
      <w:proofErr w:type="spellEnd"/>
      <w:r>
        <w:t xml:space="preserve"> in Annex-1. </w:t>
      </w:r>
      <w:proofErr w:type="spellStart"/>
      <w:r>
        <w:t>This</w:t>
      </w:r>
      <w:proofErr w:type="spellEnd"/>
      <w:r>
        <w:t xml:space="preserve"> minimum </w:t>
      </w:r>
      <w:proofErr w:type="spellStart"/>
      <w:r>
        <w:t>score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defined</w:t>
      </w:r>
      <w:proofErr w:type="spellEnd"/>
      <w:r>
        <w:t xml:space="preserve"> </w:t>
      </w:r>
      <w:proofErr w:type="spellStart"/>
      <w:r>
        <w:t>differently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Senate</w:t>
      </w:r>
      <w:proofErr w:type="spellEnd"/>
      <w:r>
        <w:t xml:space="preserve">, </w:t>
      </w:r>
      <w:proofErr w:type="spellStart"/>
      <w:r>
        <w:t>depending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characteristics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>.</w:t>
      </w:r>
    </w:p>
    <w:p w14:paraId="0A028BF7" w14:textId="77777777" w:rsidR="009946DE" w:rsidRDefault="008C01B4">
      <w:pPr>
        <w:pStyle w:val="P68B1DB1-ListParagraph2"/>
        <w:numPr>
          <w:ilvl w:val="0"/>
          <w:numId w:val="1"/>
        </w:numPr>
        <w:tabs>
          <w:tab w:val="left" w:pos="837"/>
        </w:tabs>
        <w:spacing w:line="278" w:lineRule="auto"/>
        <w:ind w:right="151"/>
      </w:pPr>
      <w:proofErr w:type="spellStart"/>
      <w:r>
        <w:t>To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criteria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announced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announcement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</w:p>
    <w:p w14:paraId="0A028BF8" w14:textId="77777777" w:rsidR="009946DE" w:rsidRDefault="009946DE">
      <w:pPr>
        <w:spacing w:line="278" w:lineRule="auto"/>
        <w:rPr>
          <w:sz w:val="24"/>
        </w:rPr>
        <w:sectPr w:rsidR="009946DE">
          <w:pgSz w:w="11910" w:h="16840"/>
          <w:pgMar w:top="1320" w:right="1300" w:bottom="280" w:left="1300" w:header="708" w:footer="708" w:gutter="0"/>
          <w:cols w:space="708"/>
        </w:sectPr>
      </w:pPr>
    </w:p>
    <w:p w14:paraId="0A028BF9" w14:textId="6692B0C0" w:rsidR="009946DE" w:rsidRDefault="008C01B4" w:rsidP="00E97F79">
      <w:pPr>
        <w:pStyle w:val="Balk1"/>
        <w:jc w:val="center"/>
      </w:pPr>
      <w:r>
        <w:lastRenderedPageBreak/>
        <w:t>Application</w:t>
      </w:r>
    </w:p>
    <w:p w14:paraId="0A028BFA" w14:textId="77777777" w:rsidR="009946DE" w:rsidRDefault="009946DE">
      <w:pPr>
        <w:pStyle w:val="GvdeMetni"/>
        <w:spacing w:before="7"/>
        <w:rPr>
          <w:b/>
          <w:sz w:val="20"/>
        </w:rPr>
      </w:pPr>
    </w:p>
    <w:p w14:paraId="0A028BFB" w14:textId="4EE983A5" w:rsidR="009946DE" w:rsidRDefault="008C01B4">
      <w:pPr>
        <w:pStyle w:val="GvdeMetni"/>
        <w:spacing w:line="276" w:lineRule="auto"/>
        <w:ind w:left="116" w:right="96"/>
      </w:pPr>
      <w:r>
        <w:rPr>
          <w:b/>
        </w:rPr>
        <w:t>A</w:t>
      </w:r>
      <w:r w:rsidR="00A944C6">
        <w:rPr>
          <w:b/>
        </w:rPr>
        <w:t>RTICLE</w:t>
      </w:r>
      <w:r>
        <w:rPr>
          <w:b/>
        </w:rPr>
        <w:t xml:space="preserve"> 9-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reasons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ensuring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continuity</w:t>
      </w:r>
      <w:proofErr w:type="spellEnd"/>
      <w:r>
        <w:t xml:space="preserve"> of </w:t>
      </w:r>
      <w:proofErr w:type="spellStart"/>
      <w:r>
        <w:t>education</w:t>
      </w:r>
      <w:proofErr w:type="spellEnd"/>
      <w:r>
        <w:t xml:space="preserve">, </w:t>
      </w:r>
      <w:proofErr w:type="spellStart"/>
      <w:r>
        <w:t>opening</w:t>
      </w:r>
      <w:proofErr w:type="spellEnd"/>
      <w:r>
        <w:t xml:space="preserve"> a </w:t>
      </w:r>
      <w:proofErr w:type="spellStart"/>
      <w:r>
        <w:t>new</w:t>
      </w:r>
      <w:proofErr w:type="spellEnd"/>
      <w:r>
        <w:t xml:space="preserve"> program, </w:t>
      </w:r>
      <w:proofErr w:type="spellStart"/>
      <w:r>
        <w:t>continuing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service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Rectorate</w:t>
      </w:r>
      <w:proofErr w:type="spellEnd"/>
      <w:r>
        <w:t xml:space="preserve"> has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stretch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suspend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criteria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as a </w:t>
      </w:r>
      <w:proofErr w:type="spellStart"/>
      <w:r>
        <w:t>prerequisite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>.</w:t>
      </w:r>
    </w:p>
    <w:p w14:paraId="0A028BFC" w14:textId="22CC16AD" w:rsidR="009946DE" w:rsidRDefault="008C01B4">
      <w:pPr>
        <w:pStyle w:val="GvdeMetni"/>
        <w:spacing w:before="202" w:line="276" w:lineRule="auto"/>
        <w:ind w:left="116" w:right="702"/>
      </w:pPr>
      <w:r>
        <w:rPr>
          <w:b/>
        </w:rPr>
        <w:t>A</w:t>
      </w:r>
      <w:r w:rsidR="00A944C6">
        <w:rPr>
          <w:b/>
        </w:rPr>
        <w:t>RTICLE</w:t>
      </w:r>
      <w:r>
        <w:rPr>
          <w:b/>
        </w:rPr>
        <w:t xml:space="preserve"> 10-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criteria</w:t>
      </w:r>
      <w:proofErr w:type="spellEnd"/>
      <w:r>
        <w:t xml:space="preserve"> </w:t>
      </w:r>
      <w:proofErr w:type="spellStart"/>
      <w:r>
        <w:t>specified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directive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a </w:t>
      </w:r>
      <w:proofErr w:type="spellStart"/>
      <w:r>
        <w:t>prerequisite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jury</w:t>
      </w:r>
      <w:proofErr w:type="spellEnd"/>
      <w:r>
        <w:t xml:space="preserve">.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promotions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appointments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be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evaluations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jury</w:t>
      </w:r>
      <w:proofErr w:type="spellEnd"/>
      <w:r>
        <w:t xml:space="preserve"> </w:t>
      </w:r>
      <w:proofErr w:type="spellStart"/>
      <w:r>
        <w:t>members</w:t>
      </w:r>
      <w:proofErr w:type="spellEnd"/>
      <w:r>
        <w:t>.</w:t>
      </w:r>
    </w:p>
    <w:p w14:paraId="0A028BFD" w14:textId="77777777" w:rsidR="009946DE" w:rsidRDefault="009946DE">
      <w:pPr>
        <w:pStyle w:val="GvdeMetni"/>
        <w:rPr>
          <w:sz w:val="26"/>
        </w:rPr>
      </w:pPr>
    </w:p>
    <w:p w14:paraId="0A028BFE" w14:textId="77777777" w:rsidR="009946DE" w:rsidRDefault="008C01B4" w:rsidP="00E97F79">
      <w:pPr>
        <w:pStyle w:val="Balk1"/>
        <w:spacing w:before="222"/>
        <w:jc w:val="center"/>
      </w:pPr>
      <w:proofErr w:type="spellStart"/>
      <w:r>
        <w:t>Enforcement</w:t>
      </w:r>
      <w:proofErr w:type="spellEnd"/>
    </w:p>
    <w:p w14:paraId="0A028BFF" w14:textId="77777777" w:rsidR="009946DE" w:rsidRDefault="009946DE">
      <w:pPr>
        <w:pStyle w:val="GvdeMetni"/>
        <w:spacing w:before="7"/>
        <w:rPr>
          <w:b/>
          <w:sz w:val="20"/>
        </w:rPr>
      </w:pPr>
    </w:p>
    <w:p w14:paraId="0A028C00" w14:textId="2CD1CD83" w:rsidR="009946DE" w:rsidRDefault="008C01B4">
      <w:pPr>
        <w:pStyle w:val="GvdeMetni"/>
        <w:spacing w:line="276" w:lineRule="auto"/>
        <w:ind w:left="116" w:right="96"/>
      </w:pPr>
      <w:r>
        <w:rPr>
          <w:b/>
        </w:rPr>
        <w:t>A</w:t>
      </w:r>
      <w:r w:rsidR="00A944C6">
        <w:rPr>
          <w:b/>
        </w:rPr>
        <w:t>RTICLE</w:t>
      </w:r>
      <w:r>
        <w:rPr>
          <w:b/>
        </w:rPr>
        <w:t xml:space="preserve"> 11-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 </w:t>
      </w:r>
      <w:proofErr w:type="spellStart"/>
      <w:r>
        <w:t>enters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force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proofErr w:type="gramStart"/>
      <w:r>
        <w:t>Senate</w:t>
      </w:r>
      <w:proofErr w:type="spellEnd"/>
      <w:proofErr w:type="gramEnd"/>
      <w:r>
        <w:t>.</w:t>
      </w:r>
    </w:p>
    <w:p w14:paraId="0A028C01" w14:textId="77777777" w:rsidR="009946DE" w:rsidRDefault="008C01B4" w:rsidP="00E97F79">
      <w:pPr>
        <w:pStyle w:val="Balk1"/>
        <w:spacing w:before="207"/>
        <w:jc w:val="center"/>
      </w:pPr>
      <w:proofErr w:type="spellStart"/>
      <w:r>
        <w:t>Execution</w:t>
      </w:r>
      <w:proofErr w:type="spellEnd"/>
    </w:p>
    <w:p w14:paraId="0A028C02" w14:textId="77777777" w:rsidR="009946DE" w:rsidRDefault="009946DE">
      <w:pPr>
        <w:pStyle w:val="GvdeMetni"/>
        <w:spacing w:before="5"/>
        <w:rPr>
          <w:b/>
          <w:sz w:val="20"/>
        </w:rPr>
      </w:pPr>
    </w:p>
    <w:p w14:paraId="0A028C03" w14:textId="5E427795" w:rsidR="009946DE" w:rsidRDefault="008C01B4">
      <w:pPr>
        <w:pStyle w:val="GvdeMetni"/>
        <w:ind w:left="116"/>
      </w:pPr>
      <w:r>
        <w:rPr>
          <w:b/>
        </w:rPr>
        <w:t>A</w:t>
      </w:r>
      <w:r w:rsidR="00A944C6">
        <w:rPr>
          <w:b/>
        </w:rPr>
        <w:t xml:space="preserve">RTICLE </w:t>
      </w:r>
      <w:r>
        <w:rPr>
          <w:b/>
        </w:rPr>
        <w:t xml:space="preserve">12-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 is </w:t>
      </w:r>
      <w:proofErr w:type="spellStart"/>
      <w:r>
        <w:t>executed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Rector</w:t>
      </w:r>
      <w:proofErr w:type="spellEnd"/>
      <w:r>
        <w:t xml:space="preserve"> of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>.</w:t>
      </w:r>
    </w:p>
    <w:p w14:paraId="0A028C04" w14:textId="77777777" w:rsidR="009946DE" w:rsidRDefault="009946DE">
      <w:pPr>
        <w:pStyle w:val="GvdeMetni"/>
        <w:rPr>
          <w:sz w:val="26"/>
        </w:rPr>
      </w:pPr>
    </w:p>
    <w:p w14:paraId="0A028C05" w14:textId="77777777" w:rsidR="009946DE" w:rsidRDefault="009946DE">
      <w:pPr>
        <w:pStyle w:val="GvdeMetni"/>
        <w:rPr>
          <w:sz w:val="26"/>
        </w:rPr>
      </w:pPr>
    </w:p>
    <w:p w14:paraId="0A028C06" w14:textId="77777777" w:rsidR="009946DE" w:rsidRDefault="008C01B4">
      <w:pPr>
        <w:pStyle w:val="GvdeMetni"/>
        <w:spacing w:before="160"/>
        <w:ind w:left="116"/>
      </w:pPr>
      <w:r>
        <w:t>*</w:t>
      </w:r>
      <w:proofErr w:type="spellStart"/>
      <w:r>
        <w:t>Adopted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Senate's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dated</w:t>
      </w:r>
      <w:proofErr w:type="spellEnd"/>
      <w:r>
        <w:t xml:space="preserve"> 17/01/2017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numbered</w:t>
      </w:r>
      <w:proofErr w:type="spellEnd"/>
      <w:r>
        <w:t xml:space="preserve"> 2017/03-04</w:t>
      </w:r>
    </w:p>
    <w:p w14:paraId="0A028C07" w14:textId="77777777" w:rsidR="009946DE" w:rsidRDefault="009946DE">
      <w:pPr>
        <w:pStyle w:val="GvdeMetni"/>
        <w:rPr>
          <w:sz w:val="26"/>
        </w:rPr>
      </w:pPr>
    </w:p>
    <w:p w14:paraId="0A028C08" w14:textId="77777777" w:rsidR="009946DE" w:rsidRDefault="009946DE">
      <w:pPr>
        <w:pStyle w:val="GvdeMetni"/>
        <w:rPr>
          <w:sz w:val="26"/>
        </w:rPr>
      </w:pPr>
    </w:p>
    <w:p w14:paraId="0A028C09" w14:textId="77777777" w:rsidR="009946DE" w:rsidRDefault="008C01B4">
      <w:pPr>
        <w:pStyle w:val="GvdeMetni"/>
        <w:spacing w:before="163"/>
        <w:ind w:left="116"/>
      </w:pPr>
      <w:proofErr w:type="spellStart"/>
      <w:r>
        <w:t>Annex</w:t>
      </w:r>
      <w:proofErr w:type="spellEnd"/>
      <w:r>
        <w:t xml:space="preserve"> 1: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 Evaluation Form</w:t>
      </w:r>
    </w:p>
    <w:sectPr w:rsidR="009946DE">
      <w:pgSz w:w="11910" w:h="16840"/>
      <w:pgMar w:top="1320" w:right="14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524EA"/>
    <w:multiLevelType w:val="hybridMultilevel"/>
    <w:tmpl w:val="DF148AF8"/>
    <w:lvl w:ilvl="0" w:tplc="B4907D8C">
      <w:start w:val="1"/>
      <w:numFmt w:val="lowerLetter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00D41374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AFF4C66A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5D7A6DDE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7606360E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1B12F072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C396C366"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A97C8F98"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203E5DFE">
      <w:numFmt w:val="bullet"/>
      <w:lvlText w:val="•"/>
      <w:lvlJc w:val="left"/>
      <w:pPr>
        <w:ind w:left="7613" w:hanging="360"/>
      </w:pPr>
      <w:rPr>
        <w:rFonts w:hint="default"/>
      </w:rPr>
    </w:lvl>
  </w:abstractNum>
  <w:abstractNum w:abstractNumId="1" w15:restartNumberingAfterBreak="0">
    <w:nsid w:val="1EB823F9"/>
    <w:multiLevelType w:val="hybridMultilevel"/>
    <w:tmpl w:val="849486C2"/>
    <w:lvl w:ilvl="0" w:tplc="25627DE8">
      <w:start w:val="1"/>
      <w:numFmt w:val="lowerLetter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A036D35C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F174A03A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4678FB76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6354E330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510825CE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BE0A3176"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E8FA6FD0"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00A2C980">
      <w:numFmt w:val="bullet"/>
      <w:lvlText w:val="•"/>
      <w:lvlJc w:val="left"/>
      <w:pPr>
        <w:ind w:left="7613" w:hanging="360"/>
      </w:pPr>
      <w:rPr>
        <w:rFonts w:hint="default"/>
      </w:rPr>
    </w:lvl>
  </w:abstractNum>
  <w:abstractNum w:abstractNumId="2" w15:restartNumberingAfterBreak="0">
    <w:nsid w:val="3B8C2E95"/>
    <w:multiLevelType w:val="multilevel"/>
    <w:tmpl w:val="72581884"/>
    <w:lvl w:ilvl="0">
      <w:start w:val="4"/>
      <w:numFmt w:val="decimal"/>
      <w:lvlText w:val="%1"/>
      <w:lvlJc w:val="left"/>
      <w:pPr>
        <w:ind w:left="116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42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2">
      <w:numFmt w:val="bullet"/>
      <w:lvlText w:val="•"/>
      <w:lvlJc w:val="left"/>
      <w:pPr>
        <w:ind w:left="1933" w:hanging="420"/>
      </w:pPr>
      <w:rPr>
        <w:rFonts w:hint="default"/>
      </w:rPr>
    </w:lvl>
    <w:lvl w:ilvl="3">
      <w:numFmt w:val="bullet"/>
      <w:lvlText w:val="•"/>
      <w:lvlJc w:val="left"/>
      <w:pPr>
        <w:ind w:left="2839" w:hanging="420"/>
      </w:pPr>
      <w:rPr>
        <w:rFonts w:hint="default"/>
      </w:rPr>
    </w:lvl>
    <w:lvl w:ilvl="4">
      <w:numFmt w:val="bullet"/>
      <w:lvlText w:val="•"/>
      <w:lvlJc w:val="left"/>
      <w:pPr>
        <w:ind w:left="3746" w:hanging="420"/>
      </w:pPr>
      <w:rPr>
        <w:rFonts w:hint="default"/>
      </w:rPr>
    </w:lvl>
    <w:lvl w:ilvl="5">
      <w:numFmt w:val="bullet"/>
      <w:lvlText w:val="•"/>
      <w:lvlJc w:val="left"/>
      <w:pPr>
        <w:ind w:left="4653" w:hanging="420"/>
      </w:pPr>
      <w:rPr>
        <w:rFonts w:hint="default"/>
      </w:rPr>
    </w:lvl>
    <w:lvl w:ilvl="6">
      <w:numFmt w:val="bullet"/>
      <w:lvlText w:val="•"/>
      <w:lvlJc w:val="left"/>
      <w:pPr>
        <w:ind w:left="5559" w:hanging="420"/>
      </w:pPr>
      <w:rPr>
        <w:rFonts w:hint="default"/>
      </w:rPr>
    </w:lvl>
    <w:lvl w:ilvl="7">
      <w:numFmt w:val="bullet"/>
      <w:lvlText w:val="•"/>
      <w:lvlJc w:val="left"/>
      <w:pPr>
        <w:ind w:left="6466" w:hanging="420"/>
      </w:pPr>
      <w:rPr>
        <w:rFonts w:hint="default"/>
      </w:rPr>
    </w:lvl>
    <w:lvl w:ilvl="8">
      <w:numFmt w:val="bullet"/>
      <w:lvlText w:val="•"/>
      <w:lvlJc w:val="left"/>
      <w:pPr>
        <w:ind w:left="7373" w:hanging="420"/>
      </w:pPr>
      <w:rPr>
        <w:rFonts w:hint="default"/>
      </w:rPr>
    </w:lvl>
  </w:abstractNum>
  <w:abstractNum w:abstractNumId="3" w15:restartNumberingAfterBreak="0">
    <w:nsid w:val="53F64712"/>
    <w:multiLevelType w:val="hybridMultilevel"/>
    <w:tmpl w:val="73F2ACFC"/>
    <w:lvl w:ilvl="0" w:tplc="B52AB98C">
      <w:start w:val="1"/>
      <w:numFmt w:val="lowerLetter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CCBCC2C6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B0E6E40C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5FF25754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8F32DE3C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5554F90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676E428C"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823A6066"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A7DE5F0E">
      <w:numFmt w:val="bullet"/>
      <w:lvlText w:val="•"/>
      <w:lvlJc w:val="left"/>
      <w:pPr>
        <w:ind w:left="7613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2NTe2MLEwNjMwtjBT0lEKTi0uzszPAykwrQUAwxBz5CwAAAA="/>
  </w:docVars>
  <w:rsids>
    <w:rsidRoot w:val="009946DE"/>
    <w:rsid w:val="00154A9C"/>
    <w:rsid w:val="00347381"/>
    <w:rsid w:val="004377EE"/>
    <w:rsid w:val="006A0BF9"/>
    <w:rsid w:val="008C01B4"/>
    <w:rsid w:val="0092424F"/>
    <w:rsid w:val="009946DE"/>
    <w:rsid w:val="00A74E00"/>
    <w:rsid w:val="00A944C6"/>
    <w:rsid w:val="00E37DA3"/>
    <w:rsid w:val="00E9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28BC3"/>
  <w15:docId w15:val="{9A7FDFA4-2D27-45CE-954D-256E61A6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tr-TR" w:eastAsia="tr-TR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9"/>
    <w:qFormat/>
    <w:pPr>
      <w:spacing w:before="77"/>
      <w:ind w:left="116"/>
      <w:outlineLvl w:val="0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</w:rPr>
  </w:style>
  <w:style w:type="paragraph" w:styleId="ListeParagraf">
    <w:name w:val="List Paragraph"/>
    <w:basedOn w:val="Normal"/>
    <w:uiPriority w:val="1"/>
    <w:qFormat/>
    <w:pPr>
      <w:ind w:left="83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68B1DB1-Normal1">
    <w:name w:val="P68B1DB1-Normal1"/>
    <w:basedOn w:val="Normal"/>
    <w:rPr>
      <w:b/>
      <w:sz w:val="24"/>
    </w:rPr>
  </w:style>
  <w:style w:type="paragraph" w:customStyle="1" w:styleId="P68B1DB1-ListParagraph2">
    <w:name w:val="P68B1DB1-ListParagraph2"/>
    <w:basedOn w:val="ListeParagra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891</Words>
  <Characters>5082</Characters>
  <Application>Microsoft Office Word</Application>
  <DocSecurity>0</DocSecurity>
  <Lines>42</Lines>
  <Paragraphs>11</Paragraphs>
  <ScaleCrop>false</ScaleCrop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Olcay ÖZEN</dc:creator>
  <cp:lastModifiedBy>Şebnem GÜNGÖR</cp:lastModifiedBy>
  <cp:revision>11</cp:revision>
  <dcterms:created xsi:type="dcterms:W3CDTF">2021-07-09T10:37:00Z</dcterms:created>
  <dcterms:modified xsi:type="dcterms:W3CDTF">2021-10-07T06:11:00Z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2021-07-09T00:00:00Z</vt:filetime>
  </property>
</Properties>
</file>