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4257" w14:textId="103FD460" w:rsidR="00F95579" w:rsidRDefault="001665B5" w:rsidP="00107C77">
      <w:pPr>
        <w:pStyle w:val="Balk1"/>
        <w:spacing w:before="76" w:line="360" w:lineRule="auto"/>
        <w:ind w:left="2066" w:right="2225"/>
        <w:jc w:val="center"/>
        <w:rPr>
          <w:sz w:val="24"/>
          <w:szCs w:val="24"/>
        </w:rPr>
      </w:pPr>
      <w:r w:rsidRPr="00EF0256">
        <w:rPr>
          <w:sz w:val="24"/>
          <w:szCs w:val="24"/>
        </w:rPr>
        <w:t>T.C.</w:t>
      </w:r>
    </w:p>
    <w:p w14:paraId="7BC32570" w14:textId="4DE9BB85" w:rsidR="00580048" w:rsidRPr="00EF0256" w:rsidRDefault="00580048" w:rsidP="00580048">
      <w:pPr>
        <w:pStyle w:val="Balk1"/>
        <w:spacing w:before="76"/>
        <w:ind w:left="2066" w:right="2225"/>
        <w:jc w:val="center"/>
        <w:rPr>
          <w:sz w:val="24"/>
          <w:szCs w:val="24"/>
        </w:rPr>
      </w:pPr>
      <w:r>
        <w:rPr>
          <w:sz w:val="24"/>
          <w:szCs w:val="24"/>
        </w:rPr>
        <w:t>ISTANBUL MEDIPOL UNIVERSITY</w:t>
      </w:r>
    </w:p>
    <w:p w14:paraId="45D787A8" w14:textId="49E60DA1" w:rsidR="00B57E56" w:rsidRPr="00EF0256" w:rsidRDefault="001665B5" w:rsidP="00580048">
      <w:pPr>
        <w:pStyle w:val="P68B1DB1-Normal1"/>
        <w:spacing w:before="201"/>
        <w:ind w:left="2226" w:right="2224"/>
        <w:jc w:val="center"/>
        <w:rPr>
          <w:sz w:val="24"/>
          <w:szCs w:val="24"/>
        </w:rPr>
      </w:pPr>
      <w:r w:rsidRPr="00EF0256">
        <w:rPr>
          <w:sz w:val="24"/>
          <w:szCs w:val="24"/>
        </w:rPr>
        <w:t xml:space="preserve">INSTRUCTION ON EQUALITY IN </w:t>
      </w:r>
      <w:r w:rsidR="00B57E56" w:rsidRPr="00EF0256">
        <w:rPr>
          <w:sz w:val="24"/>
          <w:szCs w:val="24"/>
        </w:rPr>
        <w:t>THE</w:t>
      </w:r>
    </w:p>
    <w:p w14:paraId="3EF24258" w14:textId="19A5C696" w:rsidR="00F95579" w:rsidRPr="00EF0256" w:rsidRDefault="001665B5" w:rsidP="00580048">
      <w:pPr>
        <w:pStyle w:val="P68B1DB1-Normal1"/>
        <w:spacing w:before="201"/>
        <w:ind w:left="2226" w:right="2224"/>
        <w:jc w:val="center"/>
        <w:rPr>
          <w:sz w:val="24"/>
          <w:szCs w:val="24"/>
        </w:rPr>
      </w:pPr>
      <w:r w:rsidRPr="00EF0256">
        <w:rPr>
          <w:sz w:val="24"/>
          <w:szCs w:val="24"/>
        </w:rPr>
        <w:t>CREDIT-</w:t>
      </w:r>
      <w:r w:rsidR="00B57E56" w:rsidRPr="00EF0256">
        <w:rPr>
          <w:sz w:val="24"/>
          <w:szCs w:val="24"/>
        </w:rPr>
        <w:t>GRADE</w:t>
      </w:r>
      <w:r w:rsidRPr="00EF0256">
        <w:rPr>
          <w:sz w:val="24"/>
          <w:szCs w:val="24"/>
        </w:rPr>
        <w:t xml:space="preserve"> TRANSFERS OF COURSES</w:t>
      </w:r>
    </w:p>
    <w:p w14:paraId="3EF24259" w14:textId="77777777" w:rsidR="00F95579" w:rsidRPr="00EF0256" w:rsidRDefault="001665B5" w:rsidP="00580048">
      <w:pPr>
        <w:pStyle w:val="P68B1DB1-Normal1"/>
        <w:spacing w:before="8"/>
        <w:ind w:left="2226" w:right="2225"/>
        <w:jc w:val="center"/>
        <w:rPr>
          <w:sz w:val="24"/>
          <w:szCs w:val="24"/>
        </w:rPr>
      </w:pPr>
      <w:r w:rsidRPr="00EF0256">
        <w:rPr>
          <w:sz w:val="24"/>
          <w:szCs w:val="24"/>
        </w:rPr>
        <w:t>TAKEN OUT OF ISTANBUL MEDIPOL UNIVERSITY*</w:t>
      </w:r>
    </w:p>
    <w:p w14:paraId="3EF2425A" w14:textId="77777777" w:rsidR="00F95579" w:rsidRPr="00EF0256" w:rsidRDefault="00F95579">
      <w:pPr>
        <w:pStyle w:val="GvdeMetni"/>
        <w:ind w:left="0"/>
        <w:jc w:val="left"/>
        <w:rPr>
          <w:b/>
          <w:sz w:val="24"/>
          <w:szCs w:val="24"/>
        </w:rPr>
      </w:pPr>
    </w:p>
    <w:p w14:paraId="3EF2425D" w14:textId="1475A62D" w:rsidR="00F95579" w:rsidRPr="00EF0256" w:rsidRDefault="00107C77" w:rsidP="00107C77">
      <w:pPr>
        <w:pStyle w:val="P68B1DB1-Normal1"/>
        <w:ind w:right="2225"/>
        <w:jc w:val="center"/>
        <w:rPr>
          <w:sz w:val="24"/>
          <w:szCs w:val="24"/>
        </w:rPr>
      </w:pPr>
      <w:r w:rsidRPr="00EF0256">
        <w:rPr>
          <w:sz w:val="24"/>
          <w:szCs w:val="24"/>
        </w:rPr>
        <w:t xml:space="preserve">                                           </w:t>
      </w:r>
      <w:r w:rsidR="001665B5" w:rsidRPr="00EF0256">
        <w:rPr>
          <w:sz w:val="24"/>
          <w:szCs w:val="24"/>
        </w:rPr>
        <w:t>FIRST SECTION</w:t>
      </w:r>
    </w:p>
    <w:p w14:paraId="3EF2425E" w14:textId="77777777" w:rsidR="00F95579" w:rsidRPr="00EF0256" w:rsidRDefault="00F95579">
      <w:pPr>
        <w:pStyle w:val="GvdeMetni"/>
        <w:spacing w:before="8"/>
        <w:ind w:left="0"/>
        <w:jc w:val="left"/>
        <w:rPr>
          <w:b/>
          <w:sz w:val="24"/>
          <w:szCs w:val="24"/>
        </w:rPr>
      </w:pPr>
    </w:p>
    <w:p w14:paraId="3EF2425F" w14:textId="42836EB2" w:rsidR="00F95579" w:rsidRPr="00EF0256" w:rsidRDefault="001665B5">
      <w:pPr>
        <w:pStyle w:val="P68B1DB1-Normal1"/>
        <w:spacing w:before="1"/>
        <w:ind w:left="2226" w:right="2224"/>
        <w:jc w:val="center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A</w:t>
      </w:r>
      <w:r w:rsidR="00107C77" w:rsidRPr="00EF0256">
        <w:rPr>
          <w:sz w:val="24"/>
          <w:szCs w:val="24"/>
        </w:rPr>
        <w:t>im</w:t>
      </w:r>
      <w:proofErr w:type="spellEnd"/>
      <w:r w:rsidR="00107C77" w:rsidRPr="00EF0256">
        <w:rPr>
          <w:sz w:val="24"/>
          <w:szCs w:val="24"/>
        </w:rPr>
        <w:t xml:space="preserve">, </w:t>
      </w:r>
      <w:proofErr w:type="spellStart"/>
      <w:r w:rsidR="00107C77" w:rsidRPr="00EF0256">
        <w:rPr>
          <w:sz w:val="24"/>
          <w:szCs w:val="24"/>
        </w:rPr>
        <w:t>Scope</w:t>
      </w:r>
      <w:proofErr w:type="spellEnd"/>
      <w:r w:rsidR="00107C77" w:rsidRPr="00EF0256">
        <w:rPr>
          <w:sz w:val="24"/>
          <w:szCs w:val="24"/>
        </w:rPr>
        <w:t>, Bas</w:t>
      </w:r>
      <w:r w:rsidR="00EF0256" w:rsidRPr="00EF0256">
        <w:rPr>
          <w:sz w:val="24"/>
          <w:szCs w:val="24"/>
        </w:rPr>
        <w:t>e</w:t>
      </w:r>
    </w:p>
    <w:p w14:paraId="0921768A" w14:textId="4592CD52" w:rsidR="00C22DD4" w:rsidRPr="00EF0256" w:rsidRDefault="00C22DD4">
      <w:pPr>
        <w:pStyle w:val="P68B1DB1-Normal1"/>
        <w:spacing w:before="1"/>
        <w:ind w:left="2226" w:right="2224"/>
        <w:jc w:val="center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Aim</w:t>
      </w:r>
      <w:proofErr w:type="spellEnd"/>
    </w:p>
    <w:p w14:paraId="3EF24262" w14:textId="77777777" w:rsidR="00F95579" w:rsidRPr="00EF0256" w:rsidRDefault="00F95579">
      <w:pPr>
        <w:pStyle w:val="GvdeMetni"/>
        <w:spacing w:before="3"/>
        <w:ind w:left="0"/>
        <w:jc w:val="left"/>
        <w:rPr>
          <w:b/>
          <w:sz w:val="24"/>
          <w:szCs w:val="24"/>
        </w:rPr>
      </w:pPr>
    </w:p>
    <w:p w14:paraId="3EF24263" w14:textId="06061775" w:rsidR="00F95579" w:rsidRPr="00EF0256" w:rsidRDefault="00A90C02">
      <w:pPr>
        <w:pStyle w:val="GvdeMetni"/>
        <w:spacing w:line="276" w:lineRule="auto"/>
        <w:ind w:right="119" w:firstLine="441"/>
        <w:rPr>
          <w:sz w:val="24"/>
          <w:szCs w:val="24"/>
        </w:rPr>
      </w:pPr>
      <w:r w:rsidRPr="00EF0256">
        <w:rPr>
          <w:b/>
          <w:sz w:val="24"/>
          <w:szCs w:val="24"/>
        </w:rPr>
        <w:t>ARTICLE</w:t>
      </w:r>
      <w:r w:rsidR="001665B5" w:rsidRPr="00EF0256">
        <w:rPr>
          <w:b/>
          <w:sz w:val="24"/>
          <w:szCs w:val="24"/>
        </w:rPr>
        <w:t xml:space="preserve"> 1- </w:t>
      </w:r>
      <w:r w:rsidR="001665B5" w:rsidRPr="00EF0256">
        <w:rPr>
          <w:sz w:val="24"/>
          <w:szCs w:val="24"/>
        </w:rPr>
        <w:t xml:space="preserve">(1)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9F222B" w:rsidRPr="00EF0256">
        <w:rPr>
          <w:sz w:val="24"/>
          <w:szCs w:val="24"/>
        </w:rPr>
        <w:t>aim</w:t>
      </w:r>
      <w:proofErr w:type="spellEnd"/>
      <w:r w:rsidR="001665B5" w:rsidRPr="00EF0256">
        <w:rPr>
          <w:sz w:val="24"/>
          <w:szCs w:val="24"/>
        </w:rPr>
        <w:t xml:space="preserve"> of </w:t>
      </w:r>
      <w:proofErr w:type="spellStart"/>
      <w:r w:rsidR="001665B5" w:rsidRPr="00EF0256">
        <w:rPr>
          <w:sz w:val="24"/>
          <w:szCs w:val="24"/>
        </w:rPr>
        <w:t>this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instruction</w:t>
      </w:r>
      <w:proofErr w:type="spellEnd"/>
      <w:r w:rsidR="001665B5" w:rsidRPr="00EF0256">
        <w:rPr>
          <w:sz w:val="24"/>
          <w:szCs w:val="24"/>
        </w:rPr>
        <w:t xml:space="preserve"> is </w:t>
      </w:r>
      <w:proofErr w:type="spellStart"/>
      <w:r w:rsidR="001665B5" w:rsidRPr="00EF0256">
        <w:rPr>
          <w:sz w:val="24"/>
          <w:szCs w:val="24"/>
        </w:rPr>
        <w:t>to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determine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applications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to</w:t>
      </w:r>
      <w:proofErr w:type="spellEnd"/>
      <w:r w:rsidR="001665B5" w:rsidRPr="00EF0256">
        <w:rPr>
          <w:sz w:val="24"/>
          <w:szCs w:val="24"/>
        </w:rPr>
        <w:t xml:space="preserve"> be </w:t>
      </w:r>
      <w:proofErr w:type="spellStart"/>
      <w:r w:rsidR="001665B5" w:rsidRPr="00EF0256">
        <w:rPr>
          <w:sz w:val="24"/>
          <w:szCs w:val="24"/>
        </w:rPr>
        <w:t>made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regarding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transfer of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courses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that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students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enrolled</w:t>
      </w:r>
      <w:proofErr w:type="spellEnd"/>
      <w:r w:rsidR="001665B5" w:rsidRPr="00EF0256">
        <w:rPr>
          <w:sz w:val="24"/>
          <w:szCs w:val="24"/>
        </w:rPr>
        <w:t xml:space="preserve"> in </w:t>
      </w:r>
      <w:proofErr w:type="spellStart"/>
      <w:r w:rsidR="001665B5" w:rsidRPr="00EF0256">
        <w:rPr>
          <w:sz w:val="24"/>
          <w:szCs w:val="24"/>
        </w:rPr>
        <w:t>Istanbul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Medipol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University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have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taken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from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any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higher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education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institution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before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and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equivalence</w:t>
      </w:r>
      <w:proofErr w:type="spellEnd"/>
      <w:r w:rsidR="001665B5" w:rsidRPr="00EF0256">
        <w:rPr>
          <w:sz w:val="24"/>
          <w:szCs w:val="24"/>
        </w:rPr>
        <w:t xml:space="preserve"> of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courses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for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which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exemption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exam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will</w:t>
      </w:r>
      <w:proofErr w:type="spellEnd"/>
      <w:r w:rsidR="001665B5" w:rsidRPr="00EF0256">
        <w:rPr>
          <w:sz w:val="24"/>
          <w:szCs w:val="24"/>
        </w:rPr>
        <w:t xml:space="preserve"> be </w:t>
      </w:r>
      <w:proofErr w:type="spellStart"/>
      <w:r w:rsidR="001665B5" w:rsidRPr="00EF0256">
        <w:rPr>
          <w:sz w:val="24"/>
          <w:szCs w:val="24"/>
        </w:rPr>
        <w:t>given</w:t>
      </w:r>
      <w:proofErr w:type="spellEnd"/>
      <w:r w:rsidR="001665B5" w:rsidRPr="00EF0256">
        <w:rPr>
          <w:sz w:val="24"/>
          <w:szCs w:val="24"/>
        </w:rPr>
        <w:t>.</w:t>
      </w:r>
    </w:p>
    <w:p w14:paraId="3EF24264" w14:textId="77777777" w:rsidR="00F95579" w:rsidRPr="00EF0256" w:rsidRDefault="001665B5" w:rsidP="00C22DD4">
      <w:pPr>
        <w:pStyle w:val="Balk1"/>
        <w:spacing w:before="206"/>
        <w:ind w:left="502"/>
        <w:jc w:val="center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Scope</w:t>
      </w:r>
      <w:proofErr w:type="spellEnd"/>
    </w:p>
    <w:p w14:paraId="3EF24265" w14:textId="77777777" w:rsidR="00F95579" w:rsidRPr="00EF0256" w:rsidRDefault="00F95579">
      <w:pPr>
        <w:pStyle w:val="GvdeMetni"/>
        <w:spacing w:before="3"/>
        <w:ind w:left="0"/>
        <w:jc w:val="left"/>
        <w:rPr>
          <w:b/>
          <w:sz w:val="24"/>
          <w:szCs w:val="24"/>
        </w:rPr>
      </w:pPr>
    </w:p>
    <w:p w14:paraId="3EF24266" w14:textId="383A8318" w:rsidR="00F95579" w:rsidRPr="00EF0256" w:rsidRDefault="00A90C02">
      <w:pPr>
        <w:pStyle w:val="GvdeMetni"/>
        <w:spacing w:line="276" w:lineRule="auto"/>
        <w:ind w:right="120" w:firstLine="386"/>
        <w:rPr>
          <w:sz w:val="24"/>
          <w:szCs w:val="24"/>
        </w:rPr>
      </w:pPr>
      <w:r w:rsidRPr="00EF0256">
        <w:rPr>
          <w:b/>
          <w:sz w:val="24"/>
          <w:szCs w:val="24"/>
        </w:rPr>
        <w:t>ARTICLE</w:t>
      </w:r>
      <w:r w:rsidR="001665B5" w:rsidRPr="00EF0256">
        <w:rPr>
          <w:b/>
          <w:sz w:val="24"/>
          <w:szCs w:val="24"/>
        </w:rPr>
        <w:t xml:space="preserve"> 2- </w:t>
      </w:r>
      <w:r w:rsidR="001665B5" w:rsidRPr="00EF0256">
        <w:rPr>
          <w:sz w:val="24"/>
          <w:szCs w:val="24"/>
        </w:rPr>
        <w:t xml:space="preserve">(1) </w:t>
      </w:r>
      <w:proofErr w:type="spellStart"/>
      <w:r w:rsidR="001665B5" w:rsidRPr="00EF0256">
        <w:rPr>
          <w:sz w:val="24"/>
          <w:szCs w:val="24"/>
        </w:rPr>
        <w:t>This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instruction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covers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procedures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to</w:t>
      </w:r>
      <w:proofErr w:type="spellEnd"/>
      <w:r w:rsidR="001665B5" w:rsidRPr="00EF0256">
        <w:rPr>
          <w:sz w:val="24"/>
          <w:szCs w:val="24"/>
        </w:rPr>
        <w:t xml:space="preserve"> be </w:t>
      </w:r>
      <w:proofErr w:type="spellStart"/>
      <w:r w:rsidR="001665B5" w:rsidRPr="00EF0256">
        <w:rPr>
          <w:sz w:val="24"/>
          <w:szCs w:val="24"/>
        </w:rPr>
        <w:t>carried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out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regarding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transfer of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courses</w:t>
      </w:r>
      <w:proofErr w:type="spellEnd"/>
      <w:r w:rsidR="001665B5" w:rsidRPr="00EF0256">
        <w:rPr>
          <w:sz w:val="24"/>
          <w:szCs w:val="24"/>
        </w:rPr>
        <w:t xml:space="preserve"> in </w:t>
      </w:r>
      <w:proofErr w:type="spellStart"/>
      <w:r w:rsidR="001665B5" w:rsidRPr="00EF0256">
        <w:rPr>
          <w:sz w:val="24"/>
          <w:szCs w:val="24"/>
        </w:rPr>
        <w:t>which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students</w:t>
      </w:r>
      <w:proofErr w:type="spellEnd"/>
      <w:r w:rsidR="00FA06B2" w:rsidRPr="00EF0256">
        <w:rPr>
          <w:sz w:val="24"/>
          <w:szCs w:val="24"/>
        </w:rPr>
        <w:t xml:space="preserve">. </w:t>
      </w:r>
      <w:proofErr w:type="spellStart"/>
      <w:r w:rsidR="00FA06B2" w:rsidRPr="00EF0256">
        <w:rPr>
          <w:sz w:val="24"/>
          <w:szCs w:val="24"/>
        </w:rPr>
        <w:t>They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participate</w:t>
      </w:r>
      <w:proofErr w:type="spellEnd"/>
      <w:r w:rsidR="001665B5" w:rsidRPr="00EF0256">
        <w:rPr>
          <w:sz w:val="24"/>
          <w:szCs w:val="24"/>
        </w:rPr>
        <w:t xml:space="preserve"> in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student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exchange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programs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or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continue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their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education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through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internal</w:t>
      </w:r>
      <w:proofErr w:type="spellEnd"/>
      <w:r w:rsidR="001665B5" w:rsidRPr="00EF0256">
        <w:rPr>
          <w:sz w:val="24"/>
          <w:szCs w:val="24"/>
        </w:rPr>
        <w:t>/</w:t>
      </w:r>
      <w:proofErr w:type="spellStart"/>
      <w:r w:rsidR="001665B5" w:rsidRPr="00EF0256">
        <w:rPr>
          <w:sz w:val="24"/>
          <w:szCs w:val="24"/>
        </w:rPr>
        <w:t>vertical</w:t>
      </w:r>
      <w:proofErr w:type="spellEnd"/>
      <w:r w:rsidR="001665B5" w:rsidRPr="00EF0256">
        <w:rPr>
          <w:sz w:val="24"/>
          <w:szCs w:val="24"/>
        </w:rPr>
        <w:t xml:space="preserve"> transfer at </w:t>
      </w:r>
      <w:proofErr w:type="spellStart"/>
      <w:r w:rsidR="001665B5" w:rsidRPr="00EF0256">
        <w:rPr>
          <w:sz w:val="24"/>
          <w:szCs w:val="24"/>
        </w:rPr>
        <w:t>our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University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and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qualifications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have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acquired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within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scope</w:t>
      </w:r>
      <w:proofErr w:type="spellEnd"/>
      <w:r w:rsidR="001665B5" w:rsidRPr="00EF0256">
        <w:rPr>
          <w:sz w:val="24"/>
          <w:szCs w:val="24"/>
        </w:rPr>
        <w:t xml:space="preserve"> of </w:t>
      </w:r>
      <w:proofErr w:type="spellStart"/>
      <w:r w:rsidR="001665B5" w:rsidRPr="00EF0256">
        <w:rPr>
          <w:sz w:val="24"/>
          <w:szCs w:val="24"/>
        </w:rPr>
        <w:t>lifelong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learning</w:t>
      </w:r>
      <w:proofErr w:type="spellEnd"/>
      <w:r w:rsidR="001665B5" w:rsidRPr="00EF0256">
        <w:rPr>
          <w:sz w:val="24"/>
          <w:szCs w:val="24"/>
        </w:rPr>
        <w:t>.</w:t>
      </w:r>
    </w:p>
    <w:p w14:paraId="3EF24267" w14:textId="3A5A7805" w:rsidR="00F95579" w:rsidRPr="00EF0256" w:rsidRDefault="001665B5" w:rsidP="00C22DD4">
      <w:pPr>
        <w:pStyle w:val="Balk1"/>
        <w:spacing w:before="206"/>
        <w:ind w:left="558"/>
        <w:jc w:val="center"/>
        <w:rPr>
          <w:sz w:val="24"/>
          <w:szCs w:val="24"/>
        </w:rPr>
      </w:pPr>
      <w:r w:rsidRPr="00EF0256">
        <w:rPr>
          <w:sz w:val="24"/>
          <w:szCs w:val="24"/>
        </w:rPr>
        <w:t>Bas</w:t>
      </w:r>
      <w:r w:rsidR="00EF0256">
        <w:rPr>
          <w:sz w:val="24"/>
          <w:szCs w:val="24"/>
        </w:rPr>
        <w:t>e</w:t>
      </w:r>
    </w:p>
    <w:p w14:paraId="3EF24268" w14:textId="77777777" w:rsidR="00F95579" w:rsidRPr="00EF0256" w:rsidRDefault="00F95579">
      <w:pPr>
        <w:pStyle w:val="GvdeMetni"/>
        <w:spacing w:before="1"/>
        <w:ind w:left="0"/>
        <w:jc w:val="left"/>
        <w:rPr>
          <w:b/>
          <w:sz w:val="24"/>
          <w:szCs w:val="24"/>
        </w:rPr>
      </w:pPr>
    </w:p>
    <w:p w14:paraId="3EF24269" w14:textId="07867C45" w:rsidR="00F95579" w:rsidRPr="00EF0256" w:rsidRDefault="00A90C02">
      <w:pPr>
        <w:pStyle w:val="GvdeMetni"/>
        <w:spacing w:line="276" w:lineRule="auto"/>
        <w:ind w:right="112" w:firstLine="441"/>
        <w:rPr>
          <w:sz w:val="24"/>
          <w:szCs w:val="24"/>
        </w:rPr>
      </w:pPr>
      <w:r w:rsidRPr="00EF0256">
        <w:rPr>
          <w:b/>
          <w:sz w:val="24"/>
          <w:szCs w:val="24"/>
        </w:rPr>
        <w:t>ARTICLE</w:t>
      </w:r>
      <w:r w:rsidR="001665B5" w:rsidRPr="00EF0256">
        <w:rPr>
          <w:b/>
          <w:sz w:val="24"/>
          <w:szCs w:val="24"/>
        </w:rPr>
        <w:t xml:space="preserve"> 3- </w:t>
      </w:r>
      <w:r w:rsidR="001665B5" w:rsidRPr="00EF0256">
        <w:rPr>
          <w:sz w:val="24"/>
          <w:szCs w:val="24"/>
        </w:rPr>
        <w:t xml:space="preserve">(1) </w:t>
      </w:r>
      <w:proofErr w:type="spellStart"/>
      <w:r w:rsidR="001665B5" w:rsidRPr="00EF0256">
        <w:rPr>
          <w:sz w:val="24"/>
          <w:szCs w:val="24"/>
        </w:rPr>
        <w:t>This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instruction</w:t>
      </w:r>
      <w:proofErr w:type="spellEnd"/>
      <w:r w:rsidR="001665B5" w:rsidRPr="00EF0256">
        <w:rPr>
          <w:sz w:val="24"/>
          <w:szCs w:val="24"/>
        </w:rPr>
        <w:t xml:space="preserve"> has </w:t>
      </w:r>
      <w:proofErr w:type="spellStart"/>
      <w:r w:rsidR="001665B5" w:rsidRPr="00EF0256">
        <w:rPr>
          <w:sz w:val="24"/>
          <w:szCs w:val="24"/>
        </w:rPr>
        <w:t>been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prepared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based</w:t>
      </w:r>
      <w:proofErr w:type="spellEnd"/>
      <w:r w:rsidR="001665B5" w:rsidRPr="00EF0256">
        <w:rPr>
          <w:sz w:val="24"/>
          <w:szCs w:val="24"/>
        </w:rPr>
        <w:t xml:space="preserve"> on </w:t>
      </w:r>
      <w:proofErr w:type="spellStart"/>
      <w:r w:rsidR="00F05A1E" w:rsidRPr="00EF0256">
        <w:rPr>
          <w:sz w:val="24"/>
          <w:szCs w:val="24"/>
        </w:rPr>
        <w:t>Istanbul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Medipol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University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Associate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and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Undergraduate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Education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Regulations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and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Istanbul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Medipol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University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Postgraduate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Education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Regulations</w:t>
      </w:r>
      <w:proofErr w:type="spellEnd"/>
      <w:r w:rsidR="001665B5" w:rsidRPr="00EF0256">
        <w:rPr>
          <w:sz w:val="24"/>
          <w:szCs w:val="24"/>
        </w:rPr>
        <w:t>.</w:t>
      </w:r>
    </w:p>
    <w:p w14:paraId="3EF2426A" w14:textId="77777777" w:rsidR="00F95579" w:rsidRPr="00EF0256" w:rsidRDefault="001665B5" w:rsidP="00C22DD4">
      <w:pPr>
        <w:pStyle w:val="Balk1"/>
        <w:spacing w:before="205"/>
        <w:ind w:left="555"/>
        <w:jc w:val="center"/>
        <w:rPr>
          <w:sz w:val="24"/>
          <w:szCs w:val="24"/>
        </w:rPr>
      </w:pPr>
      <w:r w:rsidRPr="00EF0256">
        <w:rPr>
          <w:sz w:val="24"/>
          <w:szCs w:val="24"/>
        </w:rPr>
        <w:t>Application</w:t>
      </w:r>
    </w:p>
    <w:p w14:paraId="3EF2426B" w14:textId="77777777" w:rsidR="00F95579" w:rsidRPr="00EF0256" w:rsidRDefault="00F95579">
      <w:pPr>
        <w:pStyle w:val="GvdeMetni"/>
        <w:spacing w:before="4"/>
        <w:ind w:left="0"/>
        <w:jc w:val="left"/>
        <w:rPr>
          <w:b/>
          <w:sz w:val="24"/>
          <w:szCs w:val="24"/>
        </w:rPr>
      </w:pPr>
    </w:p>
    <w:p w14:paraId="3EF2426C" w14:textId="1795E14D" w:rsidR="00F95579" w:rsidRPr="00EF0256" w:rsidRDefault="00A90C02">
      <w:pPr>
        <w:pStyle w:val="GvdeMetni"/>
        <w:spacing w:line="276" w:lineRule="auto"/>
        <w:ind w:right="118" w:firstLine="441"/>
        <w:rPr>
          <w:sz w:val="24"/>
          <w:szCs w:val="24"/>
        </w:rPr>
      </w:pPr>
      <w:r w:rsidRPr="00EF0256">
        <w:rPr>
          <w:b/>
          <w:sz w:val="24"/>
          <w:szCs w:val="24"/>
        </w:rPr>
        <w:t>ARTICLE</w:t>
      </w:r>
      <w:r w:rsidR="001665B5" w:rsidRPr="00EF0256">
        <w:rPr>
          <w:b/>
          <w:sz w:val="24"/>
          <w:szCs w:val="24"/>
        </w:rPr>
        <w:t xml:space="preserve"> 4- </w:t>
      </w:r>
      <w:r w:rsidR="001665B5" w:rsidRPr="00EF0256">
        <w:rPr>
          <w:sz w:val="24"/>
          <w:szCs w:val="24"/>
        </w:rPr>
        <w:t xml:space="preserve">(1) </w:t>
      </w:r>
      <w:proofErr w:type="spellStart"/>
      <w:r w:rsidR="001665B5" w:rsidRPr="00EF0256">
        <w:rPr>
          <w:sz w:val="24"/>
          <w:szCs w:val="24"/>
        </w:rPr>
        <w:t>Students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enrolled</w:t>
      </w:r>
      <w:proofErr w:type="spellEnd"/>
      <w:r w:rsidR="001665B5" w:rsidRPr="00EF0256">
        <w:rPr>
          <w:sz w:val="24"/>
          <w:szCs w:val="24"/>
        </w:rPr>
        <w:t xml:space="preserve"> in </w:t>
      </w:r>
      <w:proofErr w:type="spellStart"/>
      <w:r w:rsidR="001665B5" w:rsidRPr="00EF0256">
        <w:rPr>
          <w:sz w:val="24"/>
          <w:szCs w:val="24"/>
        </w:rPr>
        <w:t>Associate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Degree</w:t>
      </w:r>
      <w:proofErr w:type="spellEnd"/>
      <w:r w:rsidR="001665B5" w:rsidRPr="00EF0256">
        <w:rPr>
          <w:sz w:val="24"/>
          <w:szCs w:val="24"/>
        </w:rPr>
        <w:t xml:space="preserve">, </w:t>
      </w:r>
      <w:proofErr w:type="spellStart"/>
      <w:r w:rsidR="001665B5" w:rsidRPr="00EF0256">
        <w:rPr>
          <w:sz w:val="24"/>
          <w:szCs w:val="24"/>
        </w:rPr>
        <w:t>Undergraduate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and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Graduate</w:t>
      </w:r>
      <w:proofErr w:type="spellEnd"/>
      <w:r w:rsidR="001665B5" w:rsidRPr="00EF0256">
        <w:rPr>
          <w:sz w:val="24"/>
          <w:szCs w:val="24"/>
        </w:rPr>
        <w:t xml:space="preserve"> Programs of </w:t>
      </w:r>
      <w:proofErr w:type="spellStart"/>
      <w:r w:rsidR="001665B5" w:rsidRPr="00EF0256">
        <w:rPr>
          <w:sz w:val="24"/>
          <w:szCs w:val="24"/>
        </w:rPr>
        <w:t>our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university</w:t>
      </w:r>
      <w:proofErr w:type="spellEnd"/>
      <w:r w:rsidR="001665B5" w:rsidRPr="00EF0256">
        <w:rPr>
          <w:sz w:val="24"/>
          <w:szCs w:val="24"/>
        </w:rPr>
        <w:t xml:space="preserve"> can </w:t>
      </w:r>
      <w:proofErr w:type="spellStart"/>
      <w:r w:rsidR="001665B5" w:rsidRPr="00EF0256">
        <w:rPr>
          <w:sz w:val="24"/>
          <w:szCs w:val="24"/>
        </w:rPr>
        <w:t>apply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for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transfer of </w:t>
      </w:r>
      <w:proofErr w:type="spellStart"/>
      <w:r w:rsidR="001665B5" w:rsidRPr="00EF0256">
        <w:rPr>
          <w:sz w:val="24"/>
          <w:szCs w:val="24"/>
        </w:rPr>
        <w:t>courses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have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taken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and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succeeded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from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another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Higher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Education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institution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or</w:t>
      </w:r>
      <w:proofErr w:type="spellEnd"/>
      <w:r w:rsidR="001665B5" w:rsidRPr="00EF0256">
        <w:rPr>
          <w:sz w:val="24"/>
          <w:szCs w:val="24"/>
        </w:rPr>
        <w:t xml:space="preserve"> an </w:t>
      </w:r>
      <w:proofErr w:type="spellStart"/>
      <w:r w:rsidR="001665B5" w:rsidRPr="00EF0256">
        <w:rPr>
          <w:sz w:val="24"/>
          <w:szCs w:val="24"/>
        </w:rPr>
        <w:t>institution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whose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equivalence</w:t>
      </w:r>
      <w:proofErr w:type="spellEnd"/>
      <w:r w:rsidR="001665B5" w:rsidRPr="00EF0256">
        <w:rPr>
          <w:sz w:val="24"/>
          <w:szCs w:val="24"/>
        </w:rPr>
        <w:t xml:space="preserve"> has </w:t>
      </w:r>
      <w:proofErr w:type="spellStart"/>
      <w:r w:rsidR="001665B5" w:rsidRPr="00EF0256">
        <w:rPr>
          <w:sz w:val="24"/>
          <w:szCs w:val="24"/>
        </w:rPr>
        <w:t>been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accepted</w:t>
      </w:r>
      <w:proofErr w:type="spellEnd"/>
      <w:r w:rsidR="001665B5" w:rsidRPr="00EF0256">
        <w:rPr>
          <w:sz w:val="24"/>
          <w:szCs w:val="24"/>
        </w:rPr>
        <w:t>.</w:t>
      </w:r>
    </w:p>
    <w:p w14:paraId="3EF2426D" w14:textId="033EE9B2" w:rsidR="00F95579" w:rsidRPr="00EF0256" w:rsidRDefault="001665B5">
      <w:pPr>
        <w:pStyle w:val="ListeParagraf"/>
        <w:numPr>
          <w:ilvl w:val="0"/>
          <w:numId w:val="3"/>
        </w:numPr>
        <w:tabs>
          <w:tab w:val="left" w:pos="884"/>
        </w:tabs>
        <w:spacing w:before="202" w:line="276" w:lineRule="auto"/>
        <w:ind w:right="116" w:firstLine="442"/>
        <w:jc w:val="both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Students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placed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our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university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by</w:t>
      </w:r>
      <w:proofErr w:type="spellEnd"/>
      <w:r w:rsidRPr="00EF0256">
        <w:rPr>
          <w:sz w:val="24"/>
          <w:szCs w:val="24"/>
        </w:rPr>
        <w:t xml:space="preserve"> ÖSYM </w:t>
      </w:r>
      <w:proofErr w:type="spellStart"/>
      <w:r w:rsidRPr="00EF0256">
        <w:rPr>
          <w:sz w:val="24"/>
          <w:szCs w:val="24"/>
        </w:rPr>
        <w:t>or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who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accepted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through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internal</w:t>
      </w:r>
      <w:proofErr w:type="spellEnd"/>
      <w:r w:rsidRPr="00EF0256">
        <w:rPr>
          <w:sz w:val="24"/>
          <w:szCs w:val="24"/>
        </w:rPr>
        <w:t>/</w:t>
      </w:r>
      <w:proofErr w:type="spellStart"/>
      <w:r w:rsidRPr="00EF0256">
        <w:rPr>
          <w:sz w:val="24"/>
          <w:szCs w:val="24"/>
        </w:rPr>
        <w:t>vertical</w:t>
      </w:r>
      <w:proofErr w:type="spellEnd"/>
      <w:r w:rsidRPr="00EF0256">
        <w:rPr>
          <w:sz w:val="24"/>
          <w:szCs w:val="24"/>
        </w:rPr>
        <w:t xml:space="preserve"> transfer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enrol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university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must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apply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with</w:t>
      </w:r>
      <w:proofErr w:type="spellEnd"/>
      <w:r w:rsidRPr="00EF0256">
        <w:rPr>
          <w:sz w:val="24"/>
          <w:szCs w:val="24"/>
        </w:rPr>
        <w:t xml:space="preserve"> a </w:t>
      </w:r>
      <w:proofErr w:type="spellStart"/>
      <w:r w:rsidRPr="00EF0256">
        <w:rPr>
          <w:sz w:val="24"/>
          <w:szCs w:val="24"/>
        </w:rPr>
        <w:t>petition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relevant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from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date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registration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university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until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end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second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week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academic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year</w:t>
      </w:r>
      <w:proofErr w:type="spellEnd"/>
      <w:r w:rsidRPr="00EF0256">
        <w:rPr>
          <w:sz w:val="24"/>
          <w:szCs w:val="24"/>
        </w:rPr>
        <w:t>.</w:t>
      </w:r>
    </w:p>
    <w:p w14:paraId="3EF2426E" w14:textId="77777777" w:rsidR="00F95579" w:rsidRPr="00EF0256" w:rsidRDefault="001665B5">
      <w:pPr>
        <w:pStyle w:val="ListeParagraf"/>
        <w:numPr>
          <w:ilvl w:val="0"/>
          <w:numId w:val="3"/>
        </w:numPr>
        <w:tabs>
          <w:tab w:val="left" w:pos="824"/>
        </w:tabs>
        <w:spacing w:before="202" w:line="276" w:lineRule="auto"/>
        <w:ind w:right="110" w:firstLine="386"/>
        <w:jc w:val="both"/>
        <w:rPr>
          <w:sz w:val="24"/>
          <w:szCs w:val="24"/>
        </w:rPr>
      </w:pPr>
      <w:r w:rsidRPr="00EF0256">
        <w:rPr>
          <w:sz w:val="24"/>
          <w:szCs w:val="24"/>
        </w:rPr>
        <w:t xml:space="preserve">Course transfer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adjustment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procedures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students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admitted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our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university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through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internal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vertical</w:t>
      </w:r>
      <w:proofErr w:type="spellEnd"/>
      <w:r w:rsidRPr="00EF0256">
        <w:rPr>
          <w:sz w:val="24"/>
          <w:szCs w:val="24"/>
        </w:rPr>
        <w:t xml:space="preserve"> transfer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carried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out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by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Evaluation </w:t>
      </w:r>
      <w:proofErr w:type="spellStart"/>
      <w:r w:rsidRPr="00EF0256">
        <w:rPr>
          <w:sz w:val="24"/>
          <w:szCs w:val="24"/>
        </w:rPr>
        <w:t>Committees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relevant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unit</w:t>
      </w:r>
      <w:proofErr w:type="spellEnd"/>
      <w:r w:rsidRPr="00EF0256">
        <w:rPr>
          <w:sz w:val="24"/>
          <w:szCs w:val="24"/>
        </w:rPr>
        <w:t>.</w:t>
      </w:r>
    </w:p>
    <w:p w14:paraId="3EF2426F" w14:textId="37C409DC" w:rsidR="00F95579" w:rsidRPr="00EF0256" w:rsidRDefault="001665B5">
      <w:pPr>
        <w:pStyle w:val="ListeParagraf"/>
        <w:numPr>
          <w:ilvl w:val="0"/>
          <w:numId w:val="3"/>
        </w:numPr>
        <w:tabs>
          <w:tab w:val="left" w:pos="836"/>
        </w:tabs>
        <w:spacing w:before="202" w:line="276" w:lineRule="auto"/>
        <w:ind w:right="120" w:firstLine="386"/>
        <w:jc w:val="both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Students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attending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preparatory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class</w:t>
      </w:r>
      <w:proofErr w:type="spellEnd"/>
      <w:r w:rsidRPr="00EF0256">
        <w:rPr>
          <w:sz w:val="24"/>
          <w:szCs w:val="24"/>
        </w:rPr>
        <w:t xml:space="preserve"> can </w:t>
      </w:r>
      <w:proofErr w:type="spellStart"/>
      <w:r w:rsidRPr="00EF0256">
        <w:rPr>
          <w:sz w:val="24"/>
          <w:szCs w:val="24"/>
        </w:rPr>
        <w:t>make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transfer </w:t>
      </w:r>
      <w:proofErr w:type="spellStart"/>
      <w:r w:rsidRPr="00EF0256">
        <w:rPr>
          <w:sz w:val="24"/>
          <w:szCs w:val="24"/>
        </w:rPr>
        <w:t>applications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after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completing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preparatory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class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starting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education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their</w:t>
      </w:r>
      <w:proofErr w:type="spellEnd"/>
      <w:r w:rsidRPr="00EF0256">
        <w:rPr>
          <w:sz w:val="24"/>
          <w:szCs w:val="24"/>
        </w:rPr>
        <w:t xml:space="preserve"> program.</w:t>
      </w:r>
    </w:p>
    <w:p w14:paraId="3EF24270" w14:textId="77777777" w:rsidR="00F95579" w:rsidRPr="00EF0256" w:rsidRDefault="001665B5">
      <w:pPr>
        <w:pStyle w:val="ListeParagraf"/>
        <w:numPr>
          <w:ilvl w:val="0"/>
          <w:numId w:val="3"/>
        </w:numPr>
        <w:tabs>
          <w:tab w:val="left" w:pos="824"/>
        </w:tabs>
        <w:spacing w:before="200" w:line="278" w:lineRule="auto"/>
        <w:ind w:right="124" w:firstLine="386"/>
        <w:jc w:val="both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lastRenderedPageBreak/>
        <w:t>Students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required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attach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application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petition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content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want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transfer (</w:t>
      </w:r>
      <w:proofErr w:type="spellStart"/>
      <w:r w:rsidRPr="00EF0256">
        <w:rPr>
          <w:sz w:val="24"/>
          <w:szCs w:val="24"/>
        </w:rPr>
        <w:t>sealed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stamped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signed</w:t>
      </w:r>
      <w:proofErr w:type="spellEnd"/>
      <w:r w:rsidRPr="00EF0256">
        <w:rPr>
          <w:sz w:val="24"/>
          <w:szCs w:val="24"/>
        </w:rPr>
        <w:t xml:space="preserve">) </w:t>
      </w:r>
      <w:proofErr w:type="spellStart"/>
      <w:r w:rsidRPr="00EF0256">
        <w:rPr>
          <w:sz w:val="24"/>
          <w:szCs w:val="24"/>
        </w:rPr>
        <w:t>approved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by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higher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education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institution</w:t>
      </w:r>
      <w:proofErr w:type="spellEnd"/>
    </w:p>
    <w:p w14:paraId="3EF24271" w14:textId="77777777" w:rsidR="00F95579" w:rsidRPr="00EF0256" w:rsidRDefault="00F95579">
      <w:pPr>
        <w:spacing w:line="278" w:lineRule="auto"/>
        <w:jc w:val="both"/>
        <w:rPr>
          <w:sz w:val="24"/>
          <w:szCs w:val="24"/>
        </w:rPr>
        <w:sectPr w:rsidR="00F95579" w:rsidRPr="00EF0256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3EF24272" w14:textId="52F227C7" w:rsidR="00F95579" w:rsidRPr="00EF0256" w:rsidRDefault="001665B5">
      <w:pPr>
        <w:pStyle w:val="GvdeMetni"/>
        <w:spacing w:before="71" w:line="278" w:lineRule="auto"/>
        <w:jc w:val="left"/>
        <w:rPr>
          <w:sz w:val="24"/>
          <w:szCs w:val="24"/>
        </w:rPr>
      </w:pPr>
      <w:proofErr w:type="spellStart"/>
      <w:proofErr w:type="gramStart"/>
      <w:r w:rsidRPr="00EF0256">
        <w:rPr>
          <w:sz w:val="24"/>
          <w:szCs w:val="24"/>
        </w:rPr>
        <w:lastRenderedPageBreak/>
        <w:t>the</w:t>
      </w:r>
      <w:proofErr w:type="spellEnd"/>
      <w:proofErr w:type="gram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credits</w:t>
      </w:r>
      <w:proofErr w:type="spellEnd"/>
      <w:r w:rsidRPr="00EF0256">
        <w:rPr>
          <w:sz w:val="24"/>
          <w:szCs w:val="24"/>
        </w:rPr>
        <w:t xml:space="preserve">/ECTS </w:t>
      </w:r>
      <w:proofErr w:type="spellStart"/>
      <w:r w:rsidRPr="00EF0256">
        <w:rPr>
          <w:sz w:val="24"/>
          <w:szCs w:val="24"/>
        </w:rPr>
        <w:t>credits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showing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theoretical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practice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hours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distribution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transcript</w:t>
      </w:r>
      <w:proofErr w:type="spellEnd"/>
      <w:r w:rsidR="0086031E" w:rsidRPr="00EF0256">
        <w:rPr>
          <w:sz w:val="24"/>
          <w:szCs w:val="24"/>
        </w:rPr>
        <w:t xml:space="preserve"> is</w:t>
      </w:r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showing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their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grades</w:t>
      </w:r>
      <w:proofErr w:type="spellEnd"/>
      <w:r w:rsidRPr="00EF0256">
        <w:rPr>
          <w:sz w:val="24"/>
          <w:szCs w:val="24"/>
        </w:rPr>
        <w:t>.</w:t>
      </w:r>
    </w:p>
    <w:p w14:paraId="3EF24273" w14:textId="77777777" w:rsidR="00F95579" w:rsidRPr="00EF0256" w:rsidRDefault="001665B5">
      <w:pPr>
        <w:pStyle w:val="ListeParagraf"/>
        <w:numPr>
          <w:ilvl w:val="0"/>
          <w:numId w:val="3"/>
        </w:numPr>
        <w:tabs>
          <w:tab w:val="left" w:pos="805"/>
        </w:tabs>
        <w:spacing w:before="197" w:line="276" w:lineRule="auto"/>
        <w:ind w:right="120" w:firstLine="331"/>
        <w:jc w:val="both"/>
        <w:rPr>
          <w:sz w:val="24"/>
          <w:szCs w:val="24"/>
        </w:rPr>
      </w:pPr>
      <w:r w:rsidRPr="00EF0256">
        <w:rPr>
          <w:sz w:val="24"/>
          <w:szCs w:val="24"/>
        </w:rPr>
        <w:t xml:space="preserve">Applications not </w:t>
      </w:r>
      <w:proofErr w:type="spellStart"/>
      <w:r w:rsidRPr="00EF0256">
        <w:rPr>
          <w:sz w:val="24"/>
          <w:szCs w:val="24"/>
        </w:rPr>
        <w:t>made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due</w:t>
      </w:r>
      <w:proofErr w:type="spellEnd"/>
      <w:r w:rsidRPr="00EF0256">
        <w:rPr>
          <w:sz w:val="24"/>
          <w:szCs w:val="24"/>
        </w:rPr>
        <w:t xml:space="preserve"> time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applications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made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with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incomplete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unapproved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documents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not </w:t>
      </w:r>
      <w:proofErr w:type="spellStart"/>
      <w:r w:rsidRPr="00EF0256">
        <w:rPr>
          <w:sz w:val="24"/>
          <w:szCs w:val="24"/>
        </w:rPr>
        <w:t>accepted</w:t>
      </w:r>
      <w:proofErr w:type="spellEnd"/>
      <w:r w:rsidRPr="00EF0256">
        <w:rPr>
          <w:sz w:val="24"/>
          <w:szCs w:val="24"/>
        </w:rPr>
        <w:t>.</w:t>
      </w:r>
    </w:p>
    <w:p w14:paraId="3EF24274" w14:textId="77777777" w:rsidR="00F95579" w:rsidRPr="00EF0256" w:rsidRDefault="001665B5" w:rsidP="00C22DD4">
      <w:pPr>
        <w:pStyle w:val="Balk1"/>
        <w:spacing w:before="207"/>
        <w:ind w:left="502"/>
        <w:jc w:val="center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Considerations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Regarding</w:t>
      </w:r>
      <w:proofErr w:type="spellEnd"/>
      <w:r w:rsidRPr="00EF0256">
        <w:rPr>
          <w:sz w:val="24"/>
          <w:szCs w:val="24"/>
        </w:rPr>
        <w:t xml:space="preserve"> Course Transfer</w:t>
      </w:r>
    </w:p>
    <w:p w14:paraId="3EF24275" w14:textId="77777777" w:rsidR="00F95579" w:rsidRPr="00EF0256" w:rsidRDefault="00F95579">
      <w:pPr>
        <w:pStyle w:val="GvdeMetni"/>
        <w:spacing w:before="4"/>
        <w:ind w:left="0"/>
        <w:jc w:val="left"/>
        <w:rPr>
          <w:b/>
          <w:sz w:val="24"/>
          <w:szCs w:val="24"/>
        </w:rPr>
      </w:pPr>
    </w:p>
    <w:p w14:paraId="3EF24276" w14:textId="5D7E2151" w:rsidR="00F95579" w:rsidRPr="00EF0256" w:rsidRDefault="00A90C02">
      <w:pPr>
        <w:pStyle w:val="GvdeMetni"/>
        <w:spacing w:line="276" w:lineRule="auto"/>
        <w:ind w:right="118" w:firstLine="386"/>
        <w:rPr>
          <w:sz w:val="24"/>
          <w:szCs w:val="24"/>
        </w:rPr>
      </w:pPr>
      <w:r w:rsidRPr="00EF0256">
        <w:rPr>
          <w:b/>
          <w:sz w:val="24"/>
          <w:szCs w:val="24"/>
        </w:rPr>
        <w:t>ARTICLE</w:t>
      </w:r>
      <w:r w:rsidR="001665B5" w:rsidRPr="00EF0256">
        <w:rPr>
          <w:b/>
          <w:sz w:val="24"/>
          <w:szCs w:val="24"/>
        </w:rPr>
        <w:t xml:space="preserve"> 5- </w:t>
      </w:r>
      <w:r w:rsidR="001665B5" w:rsidRPr="00EF0256">
        <w:rPr>
          <w:sz w:val="24"/>
          <w:szCs w:val="24"/>
        </w:rPr>
        <w:t xml:space="preserve">(1) Course transfer </w:t>
      </w:r>
      <w:proofErr w:type="spellStart"/>
      <w:r w:rsidR="001665B5" w:rsidRPr="00EF0256">
        <w:rPr>
          <w:sz w:val="24"/>
          <w:szCs w:val="24"/>
        </w:rPr>
        <w:t>procedures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are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finalized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preferably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until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course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drop-off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date</w:t>
      </w:r>
      <w:proofErr w:type="spellEnd"/>
      <w:r w:rsidR="001665B5" w:rsidRPr="00EF0256">
        <w:rPr>
          <w:sz w:val="24"/>
          <w:szCs w:val="24"/>
        </w:rPr>
        <w:t xml:space="preserve"> is </w:t>
      </w:r>
      <w:proofErr w:type="spellStart"/>
      <w:r w:rsidR="001665B5" w:rsidRPr="00EF0256">
        <w:rPr>
          <w:sz w:val="24"/>
          <w:szCs w:val="24"/>
        </w:rPr>
        <w:t>determined</w:t>
      </w:r>
      <w:proofErr w:type="spellEnd"/>
      <w:r w:rsidR="001665B5" w:rsidRPr="00EF0256">
        <w:rPr>
          <w:sz w:val="24"/>
          <w:szCs w:val="24"/>
        </w:rPr>
        <w:t xml:space="preserve"> in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academic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calendar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based</w:t>
      </w:r>
      <w:proofErr w:type="spellEnd"/>
      <w:r w:rsidR="001665B5" w:rsidRPr="00EF0256">
        <w:rPr>
          <w:sz w:val="24"/>
          <w:szCs w:val="24"/>
        </w:rPr>
        <w:t xml:space="preserve"> on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current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content</w:t>
      </w:r>
      <w:proofErr w:type="spellEnd"/>
      <w:r w:rsidR="001665B5" w:rsidRPr="00EF0256">
        <w:rPr>
          <w:sz w:val="24"/>
          <w:szCs w:val="24"/>
        </w:rPr>
        <w:t xml:space="preserve"> of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course</w:t>
      </w:r>
      <w:proofErr w:type="spellEnd"/>
      <w:r w:rsidR="001665B5" w:rsidRPr="00EF0256">
        <w:rPr>
          <w:sz w:val="24"/>
          <w:szCs w:val="24"/>
        </w:rPr>
        <w:t>.</w:t>
      </w:r>
    </w:p>
    <w:p w14:paraId="3EF24277" w14:textId="65DCAA4C" w:rsidR="00F95579" w:rsidRPr="00EF0256" w:rsidRDefault="001665B5">
      <w:pPr>
        <w:pStyle w:val="ListeParagraf"/>
        <w:numPr>
          <w:ilvl w:val="0"/>
          <w:numId w:val="2"/>
        </w:numPr>
        <w:tabs>
          <w:tab w:val="left" w:pos="858"/>
        </w:tabs>
        <w:spacing w:before="200" w:line="278" w:lineRule="auto"/>
        <w:ind w:firstLine="386"/>
        <w:jc w:val="both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transfer </w:t>
      </w:r>
      <w:proofErr w:type="spellStart"/>
      <w:r w:rsidRPr="00EF0256">
        <w:rPr>
          <w:sz w:val="24"/>
          <w:szCs w:val="24"/>
        </w:rPr>
        <w:t>application</w:t>
      </w:r>
      <w:proofErr w:type="spellEnd"/>
      <w:r w:rsidRPr="00EF0256">
        <w:rPr>
          <w:sz w:val="24"/>
          <w:szCs w:val="24"/>
        </w:rPr>
        <w:t xml:space="preserve"> is </w:t>
      </w:r>
      <w:proofErr w:type="spellStart"/>
      <w:r w:rsidRPr="00EF0256">
        <w:rPr>
          <w:sz w:val="24"/>
          <w:szCs w:val="24"/>
        </w:rPr>
        <w:t>evaluated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by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head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relevant</w:t>
      </w:r>
      <w:proofErr w:type="spellEnd"/>
      <w:r w:rsidRPr="00EF0256">
        <w:rPr>
          <w:sz w:val="24"/>
          <w:szCs w:val="24"/>
        </w:rPr>
        <w:t xml:space="preserve"> program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decided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by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relevant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unit</w:t>
      </w:r>
      <w:proofErr w:type="spellEnd"/>
      <w:r w:rsidRPr="00EF0256">
        <w:rPr>
          <w:sz w:val="24"/>
          <w:szCs w:val="24"/>
        </w:rPr>
        <w:t xml:space="preserve"> board of </w:t>
      </w:r>
      <w:proofErr w:type="spellStart"/>
      <w:r w:rsidRPr="00EF0256">
        <w:rPr>
          <w:sz w:val="24"/>
          <w:szCs w:val="24"/>
        </w:rPr>
        <w:t>directors</w:t>
      </w:r>
      <w:proofErr w:type="spellEnd"/>
      <w:r w:rsidRPr="00EF0256">
        <w:rPr>
          <w:sz w:val="24"/>
          <w:szCs w:val="24"/>
        </w:rPr>
        <w:t>.</w:t>
      </w:r>
    </w:p>
    <w:p w14:paraId="3EF24278" w14:textId="2EECE1ED" w:rsidR="00F95579" w:rsidRPr="00EF0256" w:rsidRDefault="001665B5">
      <w:pPr>
        <w:pStyle w:val="ListeParagraf"/>
        <w:numPr>
          <w:ilvl w:val="0"/>
          <w:numId w:val="2"/>
        </w:numPr>
        <w:tabs>
          <w:tab w:val="left" w:pos="812"/>
        </w:tabs>
        <w:spacing w:before="198"/>
        <w:ind w:left="812" w:right="0" w:hanging="310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name of a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be </w:t>
      </w:r>
      <w:proofErr w:type="spellStart"/>
      <w:r w:rsidRPr="00EF0256">
        <w:rPr>
          <w:sz w:val="24"/>
          <w:szCs w:val="24"/>
        </w:rPr>
        <w:t>transferred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does</w:t>
      </w:r>
      <w:proofErr w:type="spellEnd"/>
      <w:r w:rsidRPr="00EF0256">
        <w:rPr>
          <w:sz w:val="24"/>
          <w:szCs w:val="24"/>
        </w:rPr>
        <w:t xml:space="preserve"> not </w:t>
      </w:r>
      <w:proofErr w:type="spellStart"/>
      <w:r w:rsidRPr="00EF0256">
        <w:rPr>
          <w:sz w:val="24"/>
          <w:szCs w:val="24"/>
        </w:rPr>
        <w:t>need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be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same</w:t>
      </w:r>
      <w:proofErr w:type="spellEnd"/>
      <w:r w:rsidRPr="00EF0256">
        <w:rPr>
          <w:sz w:val="24"/>
          <w:szCs w:val="24"/>
        </w:rPr>
        <w:t xml:space="preserve"> as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be </w:t>
      </w:r>
      <w:proofErr w:type="spellStart"/>
      <w:r w:rsidRPr="00EF0256">
        <w:rPr>
          <w:sz w:val="24"/>
          <w:szCs w:val="24"/>
        </w:rPr>
        <w:t>considered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equivalent</w:t>
      </w:r>
      <w:proofErr w:type="spellEnd"/>
      <w:r w:rsidRPr="00EF0256">
        <w:rPr>
          <w:sz w:val="24"/>
          <w:szCs w:val="24"/>
        </w:rPr>
        <w:t>.</w:t>
      </w:r>
    </w:p>
    <w:p w14:paraId="3EF24279" w14:textId="77777777" w:rsidR="00F95579" w:rsidRPr="00EF0256" w:rsidRDefault="00F95579">
      <w:pPr>
        <w:pStyle w:val="GvdeMetni"/>
        <w:spacing w:before="8"/>
        <w:ind w:left="0"/>
        <w:jc w:val="left"/>
        <w:rPr>
          <w:sz w:val="24"/>
          <w:szCs w:val="24"/>
        </w:rPr>
      </w:pPr>
    </w:p>
    <w:p w14:paraId="3EF2427A" w14:textId="50A40967" w:rsidR="00F95579" w:rsidRPr="00EF0256" w:rsidRDefault="001665B5">
      <w:pPr>
        <w:pStyle w:val="ListeParagraf"/>
        <w:numPr>
          <w:ilvl w:val="0"/>
          <w:numId w:val="2"/>
        </w:numPr>
        <w:tabs>
          <w:tab w:val="left" w:pos="827"/>
        </w:tabs>
        <w:spacing w:before="0" w:line="276" w:lineRule="auto"/>
        <w:ind w:right="114" w:firstLine="386"/>
        <w:jc w:val="both"/>
        <w:rPr>
          <w:sz w:val="24"/>
          <w:szCs w:val="24"/>
        </w:rPr>
      </w:pPr>
      <w:r w:rsidRPr="00EF0256">
        <w:rPr>
          <w:sz w:val="24"/>
          <w:szCs w:val="24"/>
        </w:rPr>
        <w:t xml:space="preserve">(4)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theoretical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practical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hours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distribution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total </w:t>
      </w:r>
      <w:proofErr w:type="spellStart"/>
      <w:r w:rsidRPr="00EF0256">
        <w:rPr>
          <w:sz w:val="24"/>
          <w:szCs w:val="24"/>
        </w:rPr>
        <w:t>credits</w:t>
      </w:r>
      <w:proofErr w:type="spellEnd"/>
      <w:r w:rsidRPr="00EF0256">
        <w:rPr>
          <w:sz w:val="24"/>
          <w:szCs w:val="24"/>
        </w:rPr>
        <w:t xml:space="preserve">/ECTS </w:t>
      </w:r>
      <w:proofErr w:type="spellStart"/>
      <w:r w:rsidRPr="00EF0256">
        <w:rPr>
          <w:sz w:val="24"/>
          <w:szCs w:val="24"/>
        </w:rPr>
        <w:t>credits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be </w:t>
      </w:r>
      <w:proofErr w:type="spellStart"/>
      <w:r w:rsidRPr="00EF0256">
        <w:rPr>
          <w:sz w:val="24"/>
          <w:szCs w:val="24"/>
        </w:rPr>
        <w:t>transferred</w:t>
      </w:r>
      <w:proofErr w:type="spellEnd"/>
      <w:r w:rsidRPr="00EF0256">
        <w:rPr>
          <w:sz w:val="24"/>
          <w:szCs w:val="24"/>
        </w:rPr>
        <w:t xml:space="preserve"> as </w:t>
      </w:r>
      <w:proofErr w:type="spellStart"/>
      <w:r w:rsidRPr="00EF0256">
        <w:rPr>
          <w:sz w:val="24"/>
          <w:szCs w:val="24"/>
        </w:rPr>
        <w:t>equivalent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students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who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participate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student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exchange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programs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come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our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University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through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internal</w:t>
      </w:r>
      <w:proofErr w:type="spellEnd"/>
      <w:r w:rsidRPr="00EF0256">
        <w:rPr>
          <w:sz w:val="24"/>
          <w:szCs w:val="24"/>
        </w:rPr>
        <w:t>/</w:t>
      </w:r>
      <w:proofErr w:type="spellStart"/>
      <w:r w:rsidRPr="00EF0256">
        <w:rPr>
          <w:sz w:val="24"/>
          <w:szCs w:val="24"/>
        </w:rPr>
        <w:t>vertical</w:t>
      </w:r>
      <w:proofErr w:type="spellEnd"/>
      <w:r w:rsidRPr="00EF0256">
        <w:rPr>
          <w:sz w:val="24"/>
          <w:szCs w:val="24"/>
        </w:rPr>
        <w:t xml:space="preserve"> transfer do not </w:t>
      </w:r>
      <w:proofErr w:type="spellStart"/>
      <w:r w:rsidRPr="00EF0256">
        <w:rPr>
          <w:sz w:val="24"/>
          <w:szCs w:val="24"/>
        </w:rPr>
        <w:t>need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be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same</w:t>
      </w:r>
      <w:proofErr w:type="spellEnd"/>
      <w:r w:rsidRPr="00EF0256">
        <w:rPr>
          <w:sz w:val="24"/>
          <w:szCs w:val="24"/>
        </w:rPr>
        <w:t xml:space="preserve">. </w:t>
      </w:r>
      <w:proofErr w:type="spellStart"/>
      <w:r w:rsidRPr="00EF0256">
        <w:rPr>
          <w:sz w:val="24"/>
          <w:szCs w:val="24"/>
        </w:rPr>
        <w:t>It</w:t>
      </w:r>
      <w:proofErr w:type="spellEnd"/>
      <w:r w:rsidRPr="00EF0256">
        <w:rPr>
          <w:sz w:val="24"/>
          <w:szCs w:val="24"/>
        </w:rPr>
        <w:t xml:space="preserve"> is </w:t>
      </w:r>
      <w:proofErr w:type="spellStart"/>
      <w:r w:rsidRPr="00EF0256">
        <w:rPr>
          <w:sz w:val="24"/>
          <w:szCs w:val="24"/>
        </w:rPr>
        <w:t>sufficient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for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content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be </w:t>
      </w:r>
      <w:proofErr w:type="spellStart"/>
      <w:r w:rsidRPr="00EF0256">
        <w:rPr>
          <w:sz w:val="24"/>
          <w:szCs w:val="24"/>
        </w:rPr>
        <w:t>transferred</w:t>
      </w:r>
      <w:proofErr w:type="spellEnd"/>
      <w:r w:rsidRPr="00EF0256">
        <w:rPr>
          <w:sz w:val="24"/>
          <w:szCs w:val="24"/>
        </w:rPr>
        <w:t xml:space="preserve"> as </w:t>
      </w:r>
      <w:proofErr w:type="spellStart"/>
      <w:r w:rsidRPr="00EF0256">
        <w:rPr>
          <w:sz w:val="24"/>
          <w:szCs w:val="24"/>
        </w:rPr>
        <w:t>equivalent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being</w:t>
      </w:r>
      <w:proofErr w:type="spellEnd"/>
      <w:r w:rsidRPr="00EF0256">
        <w:rPr>
          <w:sz w:val="24"/>
          <w:szCs w:val="24"/>
        </w:rPr>
        <w:t xml:space="preserve"> 75% </w:t>
      </w:r>
      <w:proofErr w:type="spellStart"/>
      <w:r w:rsidRPr="00EF0256">
        <w:rPr>
          <w:sz w:val="24"/>
          <w:szCs w:val="24"/>
        </w:rPr>
        <w:t>similar</w:t>
      </w:r>
      <w:proofErr w:type="spellEnd"/>
      <w:r w:rsidRPr="00EF0256">
        <w:rPr>
          <w:sz w:val="24"/>
          <w:szCs w:val="24"/>
        </w:rPr>
        <w:t>.</w:t>
      </w:r>
    </w:p>
    <w:p w14:paraId="1A0E6C87" w14:textId="5BBBAC7F" w:rsidR="00C32E3F" w:rsidRPr="00EF0256" w:rsidRDefault="00C32E3F">
      <w:pPr>
        <w:pStyle w:val="ListeParagraf"/>
        <w:numPr>
          <w:ilvl w:val="0"/>
          <w:numId w:val="2"/>
        </w:numPr>
        <w:tabs>
          <w:tab w:val="left" w:pos="870"/>
        </w:tabs>
        <w:spacing w:line="276" w:lineRule="auto"/>
        <w:ind w:right="115" w:firstLine="442"/>
        <w:jc w:val="both"/>
        <w:rPr>
          <w:sz w:val="24"/>
          <w:szCs w:val="24"/>
        </w:rPr>
      </w:pPr>
      <w:r w:rsidRPr="00EF0256">
        <w:rPr>
          <w:sz w:val="24"/>
          <w:szCs w:val="24"/>
        </w:rPr>
        <w:t xml:space="preserve">Since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contents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5 (ı) </w:t>
      </w:r>
      <w:proofErr w:type="spellStart"/>
      <w:r w:rsidRPr="00EF0256">
        <w:rPr>
          <w:sz w:val="24"/>
          <w:szCs w:val="24"/>
        </w:rPr>
        <w:t>courses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Law</w:t>
      </w:r>
      <w:proofErr w:type="spellEnd"/>
      <w:r w:rsidRPr="00EF0256">
        <w:rPr>
          <w:sz w:val="24"/>
          <w:szCs w:val="24"/>
        </w:rPr>
        <w:t xml:space="preserve"> No. (5) do not </w:t>
      </w:r>
      <w:proofErr w:type="spellStart"/>
      <w:r w:rsidRPr="00EF0256">
        <w:rPr>
          <w:sz w:val="24"/>
          <w:szCs w:val="24"/>
        </w:rPr>
        <w:t>change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according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universities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content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credit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compatibility</w:t>
      </w:r>
      <w:proofErr w:type="spellEnd"/>
      <w:r w:rsidRPr="00EF0256">
        <w:rPr>
          <w:sz w:val="24"/>
          <w:szCs w:val="24"/>
        </w:rPr>
        <w:t xml:space="preserve"> is not </w:t>
      </w:r>
      <w:proofErr w:type="spellStart"/>
      <w:r w:rsidRPr="00EF0256">
        <w:rPr>
          <w:sz w:val="24"/>
          <w:szCs w:val="24"/>
        </w:rPr>
        <w:t>considered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transfer of </w:t>
      </w:r>
      <w:proofErr w:type="spellStart"/>
      <w:r w:rsidRPr="00EF0256">
        <w:rPr>
          <w:sz w:val="24"/>
          <w:szCs w:val="24"/>
        </w:rPr>
        <w:t>these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courses</w:t>
      </w:r>
      <w:proofErr w:type="spellEnd"/>
      <w:r w:rsidRPr="00EF0256">
        <w:rPr>
          <w:sz w:val="24"/>
          <w:szCs w:val="24"/>
        </w:rPr>
        <w:t>.</w:t>
      </w:r>
    </w:p>
    <w:p w14:paraId="3EF2427C" w14:textId="2192DBFE" w:rsidR="00F95579" w:rsidRPr="00EF0256" w:rsidRDefault="001665B5">
      <w:pPr>
        <w:pStyle w:val="ListeParagraf"/>
        <w:numPr>
          <w:ilvl w:val="0"/>
          <w:numId w:val="2"/>
        </w:numPr>
        <w:tabs>
          <w:tab w:val="left" w:pos="870"/>
        </w:tabs>
        <w:spacing w:line="276" w:lineRule="auto"/>
        <w:ind w:right="115" w:firstLine="442"/>
        <w:jc w:val="both"/>
        <w:rPr>
          <w:sz w:val="24"/>
          <w:szCs w:val="24"/>
        </w:rPr>
      </w:pPr>
      <w:r w:rsidRPr="00EF0256">
        <w:rPr>
          <w:sz w:val="24"/>
          <w:szCs w:val="24"/>
        </w:rPr>
        <w:t xml:space="preserve">A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whose</w:t>
      </w:r>
      <w:proofErr w:type="spellEnd"/>
      <w:r w:rsidRPr="00EF0256">
        <w:rPr>
          <w:sz w:val="24"/>
          <w:szCs w:val="24"/>
        </w:rPr>
        <w:t xml:space="preserve"> transfer is </w:t>
      </w:r>
      <w:proofErr w:type="spellStart"/>
      <w:r w:rsidRPr="00EF0256">
        <w:rPr>
          <w:sz w:val="24"/>
          <w:szCs w:val="24"/>
        </w:rPr>
        <w:t>requested</w:t>
      </w:r>
      <w:proofErr w:type="spellEnd"/>
      <w:r w:rsidRPr="00EF0256">
        <w:rPr>
          <w:sz w:val="24"/>
          <w:szCs w:val="24"/>
        </w:rPr>
        <w:t xml:space="preserve"> can be </w:t>
      </w:r>
      <w:proofErr w:type="spellStart"/>
      <w:r w:rsidRPr="00EF0256">
        <w:rPr>
          <w:sz w:val="24"/>
          <w:szCs w:val="24"/>
        </w:rPr>
        <w:t>considered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equivalent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more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than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one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more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than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one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a </w:t>
      </w:r>
      <w:proofErr w:type="spellStart"/>
      <w:r w:rsidRPr="00EF0256">
        <w:rPr>
          <w:sz w:val="24"/>
          <w:szCs w:val="24"/>
        </w:rPr>
        <w:t>single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depending</w:t>
      </w:r>
      <w:proofErr w:type="spellEnd"/>
      <w:r w:rsidRPr="00EF0256">
        <w:rPr>
          <w:sz w:val="24"/>
          <w:szCs w:val="24"/>
        </w:rPr>
        <w:t xml:space="preserve"> on </w:t>
      </w:r>
      <w:proofErr w:type="spellStart"/>
      <w:r w:rsidRPr="00EF0256">
        <w:rPr>
          <w:sz w:val="24"/>
          <w:szCs w:val="24"/>
        </w:rPr>
        <w:t>its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content</w:t>
      </w:r>
      <w:proofErr w:type="spellEnd"/>
      <w:r w:rsidRPr="00EF0256">
        <w:rPr>
          <w:sz w:val="24"/>
          <w:szCs w:val="24"/>
        </w:rPr>
        <w:t>.</w:t>
      </w:r>
    </w:p>
    <w:p w14:paraId="3EF2427D" w14:textId="77777777" w:rsidR="00F95579" w:rsidRPr="00EF0256" w:rsidRDefault="001665B5">
      <w:pPr>
        <w:pStyle w:val="ListeParagraf"/>
        <w:numPr>
          <w:ilvl w:val="0"/>
          <w:numId w:val="2"/>
        </w:numPr>
        <w:tabs>
          <w:tab w:val="left" w:pos="882"/>
        </w:tabs>
        <w:spacing w:before="199" w:line="276" w:lineRule="auto"/>
        <w:ind w:right="119" w:firstLine="442"/>
        <w:jc w:val="both"/>
        <w:rPr>
          <w:sz w:val="24"/>
          <w:szCs w:val="24"/>
        </w:rPr>
      </w:pPr>
      <w:r w:rsidRPr="00EF0256">
        <w:rPr>
          <w:sz w:val="24"/>
          <w:szCs w:val="24"/>
        </w:rPr>
        <w:t xml:space="preserve">A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taken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within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scope</w:t>
      </w:r>
      <w:proofErr w:type="spellEnd"/>
      <w:r w:rsidRPr="00EF0256">
        <w:rPr>
          <w:sz w:val="24"/>
          <w:szCs w:val="24"/>
        </w:rPr>
        <w:t xml:space="preserve"> of an </w:t>
      </w:r>
      <w:proofErr w:type="spellStart"/>
      <w:r w:rsidRPr="00EF0256">
        <w:rPr>
          <w:sz w:val="24"/>
          <w:szCs w:val="24"/>
        </w:rPr>
        <w:t>optional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elective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can be </w:t>
      </w:r>
      <w:proofErr w:type="spellStart"/>
      <w:r w:rsidRPr="00EF0256">
        <w:rPr>
          <w:sz w:val="24"/>
          <w:szCs w:val="24"/>
        </w:rPr>
        <w:t>matched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with</w:t>
      </w:r>
      <w:proofErr w:type="spellEnd"/>
      <w:r w:rsidRPr="00EF0256">
        <w:rPr>
          <w:sz w:val="24"/>
          <w:szCs w:val="24"/>
        </w:rPr>
        <w:t xml:space="preserve"> a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whose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content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credit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meets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conditions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this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directive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or</w:t>
      </w:r>
      <w:proofErr w:type="spellEnd"/>
      <w:r w:rsidRPr="00EF0256">
        <w:rPr>
          <w:sz w:val="24"/>
          <w:szCs w:val="24"/>
        </w:rPr>
        <w:t xml:space="preserve"> it can be </w:t>
      </w:r>
      <w:proofErr w:type="spellStart"/>
      <w:r w:rsidRPr="00EF0256">
        <w:rPr>
          <w:sz w:val="24"/>
          <w:szCs w:val="24"/>
        </w:rPr>
        <w:t>matched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with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Fine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Arts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Physical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Health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Culture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Science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Technology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offered</w:t>
      </w:r>
      <w:proofErr w:type="spellEnd"/>
      <w:r w:rsidRPr="00EF0256">
        <w:rPr>
          <w:sz w:val="24"/>
          <w:szCs w:val="24"/>
        </w:rPr>
        <w:t xml:space="preserve"> as </w:t>
      </w:r>
      <w:proofErr w:type="spellStart"/>
      <w:r w:rsidRPr="00EF0256">
        <w:rPr>
          <w:sz w:val="24"/>
          <w:szCs w:val="24"/>
        </w:rPr>
        <w:t>optional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elective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courses</w:t>
      </w:r>
      <w:proofErr w:type="spellEnd"/>
      <w:r w:rsidRPr="00EF0256">
        <w:rPr>
          <w:sz w:val="24"/>
          <w:szCs w:val="24"/>
        </w:rPr>
        <w:t xml:space="preserve"> at </w:t>
      </w:r>
      <w:proofErr w:type="spellStart"/>
      <w:r w:rsidRPr="00EF0256">
        <w:rPr>
          <w:sz w:val="24"/>
          <w:szCs w:val="24"/>
        </w:rPr>
        <w:t>our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University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taking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into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account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subject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content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</w:t>
      </w:r>
      <w:proofErr w:type="spellEnd"/>
      <w:proofErr w:type="gramStart"/>
      <w:r w:rsidRPr="00EF0256">
        <w:rPr>
          <w:sz w:val="24"/>
          <w:szCs w:val="24"/>
        </w:rPr>
        <w:t>. .</w:t>
      </w:r>
      <w:proofErr w:type="gramEnd"/>
    </w:p>
    <w:p w14:paraId="3EF2427E" w14:textId="77777777" w:rsidR="00F95579" w:rsidRPr="00EF0256" w:rsidRDefault="001665B5">
      <w:pPr>
        <w:pStyle w:val="ListeParagraf"/>
        <w:numPr>
          <w:ilvl w:val="0"/>
          <w:numId w:val="2"/>
        </w:numPr>
        <w:tabs>
          <w:tab w:val="left" w:pos="973"/>
        </w:tabs>
        <w:spacing w:line="276" w:lineRule="auto"/>
        <w:ind w:right="119" w:firstLine="442"/>
        <w:jc w:val="both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Except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for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reasons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stated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fourth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paragraph</w:t>
      </w:r>
      <w:proofErr w:type="spellEnd"/>
      <w:r w:rsidRPr="00EF0256">
        <w:rPr>
          <w:sz w:val="24"/>
          <w:szCs w:val="24"/>
        </w:rPr>
        <w:t xml:space="preserve">, it is </w:t>
      </w:r>
      <w:proofErr w:type="spellStart"/>
      <w:r w:rsidRPr="00EF0256">
        <w:rPr>
          <w:sz w:val="24"/>
          <w:szCs w:val="24"/>
        </w:rPr>
        <w:t>required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that</w:t>
      </w:r>
      <w:proofErr w:type="spellEnd"/>
      <w:r w:rsidRPr="00EF0256">
        <w:rPr>
          <w:sz w:val="24"/>
          <w:szCs w:val="24"/>
        </w:rPr>
        <w:t xml:space="preserve"> at </w:t>
      </w:r>
      <w:proofErr w:type="spellStart"/>
      <w:r w:rsidRPr="00EF0256">
        <w:rPr>
          <w:sz w:val="24"/>
          <w:szCs w:val="24"/>
        </w:rPr>
        <w:t>least</w:t>
      </w:r>
      <w:proofErr w:type="spellEnd"/>
      <w:r w:rsidRPr="00EF0256">
        <w:rPr>
          <w:sz w:val="24"/>
          <w:szCs w:val="24"/>
        </w:rPr>
        <w:t xml:space="preserve"> 75%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content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ECTS </w:t>
      </w:r>
      <w:proofErr w:type="spellStart"/>
      <w:r w:rsidRPr="00EF0256">
        <w:rPr>
          <w:sz w:val="24"/>
          <w:szCs w:val="24"/>
        </w:rPr>
        <w:t>credits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which</w:t>
      </w:r>
      <w:proofErr w:type="spellEnd"/>
      <w:r w:rsidRPr="00EF0256">
        <w:rPr>
          <w:sz w:val="24"/>
          <w:szCs w:val="24"/>
        </w:rPr>
        <w:t xml:space="preserve"> is </w:t>
      </w:r>
      <w:proofErr w:type="spellStart"/>
      <w:r w:rsidRPr="00EF0256">
        <w:rPr>
          <w:sz w:val="24"/>
          <w:szCs w:val="24"/>
        </w:rPr>
        <w:t>taken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from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Summer</w:t>
      </w:r>
      <w:proofErr w:type="spellEnd"/>
      <w:r w:rsidRPr="00EF0256">
        <w:rPr>
          <w:sz w:val="24"/>
          <w:szCs w:val="24"/>
        </w:rPr>
        <w:t xml:space="preserve"> School </w:t>
      </w:r>
      <w:proofErr w:type="spellStart"/>
      <w:r w:rsidRPr="00EF0256">
        <w:rPr>
          <w:sz w:val="24"/>
          <w:szCs w:val="24"/>
        </w:rPr>
        <w:t>or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other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higher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education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institutions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whose</w:t>
      </w:r>
      <w:proofErr w:type="spellEnd"/>
      <w:r w:rsidRPr="00EF0256">
        <w:rPr>
          <w:sz w:val="24"/>
          <w:szCs w:val="24"/>
        </w:rPr>
        <w:t xml:space="preserve"> transfer is </w:t>
      </w:r>
      <w:proofErr w:type="spellStart"/>
      <w:r w:rsidRPr="00EF0256">
        <w:rPr>
          <w:sz w:val="24"/>
          <w:szCs w:val="24"/>
        </w:rPr>
        <w:t>requested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must</w:t>
      </w:r>
      <w:proofErr w:type="spellEnd"/>
      <w:r w:rsidRPr="00EF0256">
        <w:rPr>
          <w:sz w:val="24"/>
          <w:szCs w:val="24"/>
        </w:rPr>
        <w:t xml:space="preserve"> be met.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Board of Directors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relevant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academic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unit</w:t>
      </w:r>
      <w:proofErr w:type="spellEnd"/>
      <w:r w:rsidRPr="00EF0256">
        <w:rPr>
          <w:sz w:val="24"/>
          <w:szCs w:val="24"/>
        </w:rPr>
        <w:t xml:space="preserve"> is </w:t>
      </w:r>
      <w:proofErr w:type="spellStart"/>
      <w:r w:rsidRPr="00EF0256">
        <w:rPr>
          <w:sz w:val="24"/>
          <w:szCs w:val="24"/>
        </w:rPr>
        <w:t>authorized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determine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maximum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amount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credits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that</w:t>
      </w:r>
      <w:proofErr w:type="spellEnd"/>
      <w:r w:rsidRPr="00EF0256">
        <w:rPr>
          <w:sz w:val="24"/>
          <w:szCs w:val="24"/>
        </w:rPr>
        <w:t xml:space="preserve"> can be </w:t>
      </w:r>
      <w:proofErr w:type="spellStart"/>
      <w:r w:rsidRPr="00EF0256">
        <w:rPr>
          <w:sz w:val="24"/>
          <w:szCs w:val="24"/>
        </w:rPr>
        <w:t>transferred</w:t>
      </w:r>
      <w:proofErr w:type="spellEnd"/>
      <w:r w:rsidRPr="00EF0256">
        <w:rPr>
          <w:sz w:val="24"/>
          <w:szCs w:val="24"/>
        </w:rPr>
        <w:t>.</w:t>
      </w:r>
    </w:p>
    <w:p w14:paraId="3EF2427F" w14:textId="77777777" w:rsidR="00F95579" w:rsidRPr="00EF0256" w:rsidRDefault="001665B5">
      <w:pPr>
        <w:pStyle w:val="ListeParagraf"/>
        <w:numPr>
          <w:ilvl w:val="0"/>
          <w:numId w:val="2"/>
        </w:numPr>
        <w:tabs>
          <w:tab w:val="left" w:pos="925"/>
        </w:tabs>
        <w:spacing w:line="276" w:lineRule="auto"/>
        <w:ind w:firstLine="442"/>
        <w:jc w:val="both"/>
        <w:rPr>
          <w:sz w:val="24"/>
          <w:szCs w:val="24"/>
        </w:rPr>
      </w:pPr>
      <w:r w:rsidRPr="00EF0256">
        <w:rPr>
          <w:sz w:val="24"/>
          <w:szCs w:val="24"/>
        </w:rPr>
        <w:t xml:space="preserve">General </w:t>
      </w:r>
      <w:proofErr w:type="spellStart"/>
      <w:r w:rsidRPr="00EF0256">
        <w:rPr>
          <w:sz w:val="24"/>
          <w:szCs w:val="24"/>
        </w:rPr>
        <w:t>assembly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equivalence</w:t>
      </w:r>
      <w:proofErr w:type="spellEnd"/>
      <w:r w:rsidRPr="00EF0256">
        <w:rPr>
          <w:sz w:val="24"/>
          <w:szCs w:val="24"/>
        </w:rPr>
        <w:t xml:space="preserve"> is </w:t>
      </w:r>
      <w:proofErr w:type="spellStart"/>
      <w:r w:rsidRPr="00EF0256">
        <w:rPr>
          <w:sz w:val="24"/>
          <w:szCs w:val="24"/>
        </w:rPr>
        <w:t>taken</w:t>
      </w:r>
      <w:proofErr w:type="spellEnd"/>
      <w:r w:rsidRPr="00EF0256">
        <w:rPr>
          <w:sz w:val="24"/>
          <w:szCs w:val="24"/>
        </w:rPr>
        <w:t xml:space="preserve"> as a </w:t>
      </w:r>
      <w:proofErr w:type="spellStart"/>
      <w:r w:rsidRPr="00EF0256">
        <w:rPr>
          <w:sz w:val="24"/>
          <w:szCs w:val="24"/>
        </w:rPr>
        <w:t>basis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transfer </w:t>
      </w:r>
      <w:proofErr w:type="spellStart"/>
      <w:r w:rsidRPr="00EF0256">
        <w:rPr>
          <w:sz w:val="24"/>
          <w:szCs w:val="24"/>
        </w:rPr>
        <w:t>procedures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departments</w:t>
      </w:r>
      <w:proofErr w:type="spellEnd"/>
      <w:r w:rsidRPr="00EF0256">
        <w:rPr>
          <w:sz w:val="24"/>
          <w:szCs w:val="24"/>
        </w:rPr>
        <w:t>/</w:t>
      </w:r>
      <w:proofErr w:type="spellStart"/>
      <w:r w:rsidRPr="00EF0256">
        <w:rPr>
          <w:sz w:val="24"/>
          <w:szCs w:val="24"/>
        </w:rPr>
        <w:t>programs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where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class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progression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board </w:t>
      </w:r>
      <w:proofErr w:type="spellStart"/>
      <w:r w:rsidRPr="00EF0256">
        <w:rPr>
          <w:sz w:val="24"/>
          <w:szCs w:val="24"/>
        </w:rPr>
        <w:t>system</w:t>
      </w:r>
      <w:proofErr w:type="spellEnd"/>
      <w:r w:rsidRPr="00EF0256">
        <w:rPr>
          <w:sz w:val="24"/>
          <w:szCs w:val="24"/>
        </w:rPr>
        <w:t xml:space="preserve"> is </w:t>
      </w:r>
      <w:proofErr w:type="spellStart"/>
      <w:r w:rsidRPr="00EF0256">
        <w:rPr>
          <w:sz w:val="24"/>
          <w:szCs w:val="24"/>
        </w:rPr>
        <w:t>applied</w:t>
      </w:r>
      <w:proofErr w:type="spellEnd"/>
      <w:r w:rsidRPr="00EF0256">
        <w:rPr>
          <w:sz w:val="24"/>
          <w:szCs w:val="24"/>
        </w:rPr>
        <w:t xml:space="preserve">. </w:t>
      </w:r>
      <w:proofErr w:type="spellStart"/>
      <w:r w:rsidRPr="00EF0256">
        <w:rPr>
          <w:sz w:val="24"/>
          <w:szCs w:val="24"/>
        </w:rPr>
        <w:t>Accordingly</w:t>
      </w:r>
      <w:proofErr w:type="spellEnd"/>
      <w:r w:rsidRPr="00EF0256">
        <w:rPr>
          <w:sz w:val="24"/>
          <w:szCs w:val="24"/>
        </w:rPr>
        <w:t>;</w:t>
      </w:r>
    </w:p>
    <w:p w14:paraId="3EF24280" w14:textId="77777777" w:rsidR="00F95579" w:rsidRPr="00EF0256" w:rsidRDefault="001665B5">
      <w:pPr>
        <w:pStyle w:val="ListeParagraf"/>
        <w:numPr>
          <w:ilvl w:val="1"/>
          <w:numId w:val="2"/>
        </w:numPr>
        <w:tabs>
          <w:tab w:val="left" w:pos="863"/>
        </w:tabs>
        <w:spacing w:line="276" w:lineRule="auto"/>
        <w:ind w:right="118" w:firstLine="442"/>
        <w:jc w:val="both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original</w:t>
      </w:r>
      <w:proofErr w:type="spellEnd"/>
      <w:r w:rsidRPr="00EF0256">
        <w:rPr>
          <w:sz w:val="24"/>
          <w:szCs w:val="24"/>
        </w:rPr>
        <w:t xml:space="preserve"> name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General Assembly, </w:t>
      </w:r>
      <w:proofErr w:type="spellStart"/>
      <w:r w:rsidRPr="00EF0256">
        <w:rPr>
          <w:sz w:val="24"/>
          <w:szCs w:val="24"/>
        </w:rPr>
        <w:t>its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score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ECTS </w:t>
      </w:r>
      <w:proofErr w:type="spellStart"/>
      <w:r w:rsidRPr="00EF0256">
        <w:rPr>
          <w:sz w:val="24"/>
          <w:szCs w:val="24"/>
        </w:rPr>
        <w:t>credits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matched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transferred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General Assembly </w:t>
      </w:r>
      <w:proofErr w:type="spellStart"/>
      <w:r w:rsidRPr="00EF0256">
        <w:rPr>
          <w:sz w:val="24"/>
          <w:szCs w:val="24"/>
        </w:rPr>
        <w:t>success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score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if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any</w:t>
      </w:r>
      <w:proofErr w:type="spellEnd"/>
      <w:r w:rsidRPr="00EF0256">
        <w:rPr>
          <w:sz w:val="24"/>
          <w:szCs w:val="24"/>
        </w:rPr>
        <w:t xml:space="preserve">, is </w:t>
      </w:r>
      <w:proofErr w:type="spellStart"/>
      <w:r w:rsidRPr="00EF0256">
        <w:rPr>
          <w:sz w:val="24"/>
          <w:szCs w:val="24"/>
        </w:rPr>
        <w:t>included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average</w:t>
      </w:r>
      <w:proofErr w:type="spellEnd"/>
      <w:r w:rsidRPr="00EF0256">
        <w:rPr>
          <w:sz w:val="24"/>
          <w:szCs w:val="24"/>
        </w:rPr>
        <w:t xml:space="preserve">. </w:t>
      </w:r>
      <w:proofErr w:type="spellStart"/>
      <w:r w:rsidRPr="00EF0256">
        <w:rPr>
          <w:sz w:val="24"/>
          <w:szCs w:val="24"/>
        </w:rPr>
        <w:t>In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absence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General Assembly </w:t>
      </w:r>
      <w:proofErr w:type="spellStart"/>
      <w:r w:rsidRPr="00EF0256">
        <w:rPr>
          <w:sz w:val="24"/>
          <w:szCs w:val="24"/>
        </w:rPr>
        <w:t>score</w:t>
      </w:r>
      <w:proofErr w:type="spellEnd"/>
      <w:r w:rsidRPr="00EF0256">
        <w:rPr>
          <w:sz w:val="24"/>
          <w:szCs w:val="24"/>
        </w:rPr>
        <w:t xml:space="preserve">, it is </w:t>
      </w:r>
      <w:proofErr w:type="spellStart"/>
      <w:r w:rsidRPr="00EF0256">
        <w:rPr>
          <w:sz w:val="24"/>
          <w:szCs w:val="24"/>
        </w:rPr>
        <w:t>transferred</w:t>
      </w:r>
      <w:proofErr w:type="spellEnd"/>
      <w:r w:rsidRPr="00EF0256">
        <w:rPr>
          <w:sz w:val="24"/>
          <w:szCs w:val="24"/>
        </w:rPr>
        <w:t xml:space="preserve"> as "SUCCESSFUL"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is not </w:t>
      </w:r>
      <w:proofErr w:type="spellStart"/>
      <w:r w:rsidRPr="00EF0256">
        <w:rPr>
          <w:sz w:val="24"/>
          <w:szCs w:val="24"/>
        </w:rPr>
        <w:t>included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average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calculation</w:t>
      </w:r>
      <w:proofErr w:type="spellEnd"/>
      <w:r w:rsidRPr="00EF0256">
        <w:rPr>
          <w:sz w:val="24"/>
          <w:szCs w:val="24"/>
        </w:rPr>
        <w:t>.</w:t>
      </w:r>
    </w:p>
    <w:p w14:paraId="3EF24281" w14:textId="77777777" w:rsidR="00F95579" w:rsidRPr="00EF0256" w:rsidRDefault="001665B5">
      <w:pPr>
        <w:pStyle w:val="ListeParagraf"/>
        <w:numPr>
          <w:ilvl w:val="1"/>
          <w:numId w:val="2"/>
        </w:numPr>
        <w:tabs>
          <w:tab w:val="left" w:pos="892"/>
        </w:tabs>
        <w:spacing w:line="276" w:lineRule="auto"/>
        <w:ind w:right="116" w:firstLine="442"/>
        <w:jc w:val="both"/>
        <w:rPr>
          <w:sz w:val="24"/>
          <w:szCs w:val="24"/>
        </w:rPr>
      </w:pPr>
      <w:r w:rsidRPr="00EF0256">
        <w:rPr>
          <w:sz w:val="24"/>
          <w:szCs w:val="24"/>
        </w:rPr>
        <w:t xml:space="preserve">Courses </w:t>
      </w:r>
      <w:proofErr w:type="spellStart"/>
      <w:r w:rsidRPr="00EF0256">
        <w:rPr>
          <w:sz w:val="24"/>
          <w:szCs w:val="24"/>
        </w:rPr>
        <w:t>taken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from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programs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that</w:t>
      </w:r>
      <w:proofErr w:type="spellEnd"/>
      <w:r w:rsidRPr="00EF0256">
        <w:rPr>
          <w:sz w:val="24"/>
          <w:szCs w:val="24"/>
        </w:rPr>
        <w:t xml:space="preserve"> do not </w:t>
      </w:r>
      <w:proofErr w:type="spellStart"/>
      <w:r w:rsidRPr="00EF0256">
        <w:rPr>
          <w:sz w:val="24"/>
          <w:szCs w:val="24"/>
        </w:rPr>
        <w:t>apply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board </w:t>
      </w:r>
      <w:proofErr w:type="spellStart"/>
      <w:r w:rsidRPr="00EF0256">
        <w:rPr>
          <w:sz w:val="24"/>
          <w:szCs w:val="24"/>
        </w:rPr>
        <w:t>system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not </w:t>
      </w:r>
      <w:proofErr w:type="spellStart"/>
      <w:r w:rsidRPr="00EF0256">
        <w:rPr>
          <w:sz w:val="24"/>
          <w:szCs w:val="24"/>
        </w:rPr>
        <w:t>matched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with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each</w:t>
      </w:r>
      <w:proofErr w:type="spellEnd"/>
      <w:r w:rsidRPr="00EF0256">
        <w:rPr>
          <w:sz w:val="24"/>
          <w:szCs w:val="24"/>
        </w:rPr>
        <w:t xml:space="preserve"> board </w:t>
      </w:r>
      <w:proofErr w:type="spellStart"/>
      <w:r w:rsidRPr="00EF0256">
        <w:rPr>
          <w:sz w:val="24"/>
          <w:szCs w:val="24"/>
        </w:rPr>
        <w:t>individually</w:t>
      </w:r>
      <w:proofErr w:type="spellEnd"/>
      <w:r w:rsidRPr="00EF0256">
        <w:rPr>
          <w:sz w:val="24"/>
          <w:szCs w:val="24"/>
        </w:rPr>
        <w:t xml:space="preserve">; </w:t>
      </w:r>
      <w:proofErr w:type="spellStart"/>
      <w:r w:rsidRPr="00EF0256">
        <w:rPr>
          <w:sz w:val="24"/>
          <w:szCs w:val="24"/>
        </w:rPr>
        <w:t>Related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mapped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general </w:t>
      </w:r>
      <w:proofErr w:type="spellStart"/>
      <w:r w:rsidRPr="00EF0256">
        <w:rPr>
          <w:sz w:val="24"/>
          <w:szCs w:val="24"/>
        </w:rPr>
        <w:t>assembly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transferred</w:t>
      </w:r>
      <w:proofErr w:type="spellEnd"/>
      <w:r w:rsidRPr="00EF0256">
        <w:rPr>
          <w:sz w:val="24"/>
          <w:szCs w:val="24"/>
        </w:rPr>
        <w:t xml:space="preserve"> </w:t>
      </w:r>
      <w:r w:rsidRPr="00EF0256">
        <w:rPr>
          <w:sz w:val="24"/>
          <w:szCs w:val="24"/>
        </w:rPr>
        <w:lastRenderedPageBreak/>
        <w:t xml:space="preserve">as “SUCCESSFUL”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not </w:t>
      </w:r>
      <w:proofErr w:type="spellStart"/>
      <w:r w:rsidRPr="00EF0256">
        <w:rPr>
          <w:sz w:val="24"/>
          <w:szCs w:val="24"/>
        </w:rPr>
        <w:t>included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average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calculation</w:t>
      </w:r>
      <w:proofErr w:type="spellEnd"/>
      <w:r w:rsidRPr="00EF0256">
        <w:rPr>
          <w:sz w:val="24"/>
          <w:szCs w:val="24"/>
        </w:rPr>
        <w:t>.</w:t>
      </w:r>
    </w:p>
    <w:p w14:paraId="3EF24282" w14:textId="49D5635F" w:rsidR="00F95579" w:rsidRPr="00EF0256" w:rsidRDefault="001665B5">
      <w:pPr>
        <w:pStyle w:val="ListeParagraf"/>
        <w:numPr>
          <w:ilvl w:val="1"/>
          <w:numId w:val="2"/>
        </w:numPr>
        <w:tabs>
          <w:tab w:val="left" w:pos="935"/>
        </w:tabs>
        <w:spacing w:line="276" w:lineRule="auto"/>
        <w:ind w:right="113" w:firstLine="497"/>
        <w:jc w:val="both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While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boards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taken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from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programs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which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board </w:t>
      </w:r>
      <w:proofErr w:type="spellStart"/>
      <w:r w:rsidRPr="00EF0256">
        <w:rPr>
          <w:sz w:val="24"/>
          <w:szCs w:val="24"/>
        </w:rPr>
        <w:t>system</w:t>
      </w:r>
      <w:proofErr w:type="spellEnd"/>
      <w:r w:rsidRPr="00EF0256">
        <w:rPr>
          <w:sz w:val="24"/>
          <w:szCs w:val="24"/>
        </w:rPr>
        <w:t xml:space="preserve"> is </w:t>
      </w:r>
      <w:proofErr w:type="spellStart"/>
      <w:r w:rsidRPr="00EF0256">
        <w:rPr>
          <w:sz w:val="24"/>
          <w:szCs w:val="24"/>
        </w:rPr>
        <w:t>applied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transferred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where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board </w:t>
      </w:r>
      <w:proofErr w:type="spellStart"/>
      <w:r w:rsidRPr="00EF0256">
        <w:rPr>
          <w:sz w:val="24"/>
          <w:szCs w:val="24"/>
        </w:rPr>
        <w:t>system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cannot</w:t>
      </w:r>
      <w:proofErr w:type="spellEnd"/>
      <w:r w:rsidRPr="00EF0256">
        <w:rPr>
          <w:sz w:val="24"/>
          <w:szCs w:val="24"/>
        </w:rPr>
        <w:t xml:space="preserve"> be </w:t>
      </w:r>
      <w:proofErr w:type="spellStart"/>
      <w:r w:rsidRPr="00EF0256">
        <w:rPr>
          <w:sz w:val="24"/>
          <w:szCs w:val="24"/>
        </w:rPr>
        <w:t>applied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they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transferred</w:t>
      </w:r>
      <w:proofErr w:type="spellEnd"/>
      <w:r w:rsidRPr="00EF0256">
        <w:rPr>
          <w:sz w:val="24"/>
          <w:szCs w:val="24"/>
        </w:rPr>
        <w:t xml:space="preserve"> as "SUCCESSFUL" </w:t>
      </w:r>
      <w:proofErr w:type="spellStart"/>
      <w:r w:rsidRPr="00EF0256">
        <w:rPr>
          <w:sz w:val="24"/>
          <w:szCs w:val="24"/>
        </w:rPr>
        <w:t>by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matching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with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relevant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not </w:t>
      </w:r>
      <w:proofErr w:type="spellStart"/>
      <w:r w:rsidRPr="00EF0256">
        <w:rPr>
          <w:sz w:val="24"/>
          <w:szCs w:val="24"/>
        </w:rPr>
        <w:t>included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average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calculation</w:t>
      </w:r>
      <w:proofErr w:type="spellEnd"/>
      <w:r w:rsidRPr="00EF0256">
        <w:rPr>
          <w:sz w:val="24"/>
          <w:szCs w:val="24"/>
        </w:rPr>
        <w:t>.</w:t>
      </w:r>
    </w:p>
    <w:p w14:paraId="3EF24283" w14:textId="77777777" w:rsidR="00F95579" w:rsidRPr="00EF0256" w:rsidRDefault="00F95579">
      <w:pPr>
        <w:spacing w:line="276" w:lineRule="auto"/>
        <w:jc w:val="both"/>
        <w:rPr>
          <w:sz w:val="24"/>
          <w:szCs w:val="24"/>
        </w:rPr>
        <w:sectPr w:rsidR="00F95579" w:rsidRPr="00EF0256">
          <w:pgSz w:w="11910" w:h="16840"/>
          <w:pgMar w:top="1320" w:right="1300" w:bottom="280" w:left="1300" w:header="708" w:footer="708" w:gutter="0"/>
          <w:cols w:space="708"/>
        </w:sectPr>
      </w:pPr>
    </w:p>
    <w:p w14:paraId="3EF24284" w14:textId="77777777" w:rsidR="00F95579" w:rsidRPr="00EF0256" w:rsidRDefault="001665B5" w:rsidP="00C22DD4">
      <w:pPr>
        <w:pStyle w:val="Balk1"/>
        <w:spacing w:before="76"/>
        <w:ind w:left="558"/>
        <w:jc w:val="center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lastRenderedPageBreak/>
        <w:t>Success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Status</w:t>
      </w:r>
      <w:proofErr w:type="spellEnd"/>
    </w:p>
    <w:p w14:paraId="3EF24285" w14:textId="77777777" w:rsidR="00F95579" w:rsidRPr="00EF0256" w:rsidRDefault="00F95579">
      <w:pPr>
        <w:pStyle w:val="GvdeMetni"/>
        <w:spacing w:before="4"/>
        <w:ind w:left="0"/>
        <w:jc w:val="left"/>
        <w:rPr>
          <w:b/>
          <w:sz w:val="24"/>
          <w:szCs w:val="24"/>
        </w:rPr>
      </w:pPr>
    </w:p>
    <w:p w14:paraId="3EF24286" w14:textId="1A893D71" w:rsidR="00F95579" w:rsidRPr="00EF0256" w:rsidRDefault="00A90C02">
      <w:pPr>
        <w:pStyle w:val="GvdeMetni"/>
        <w:spacing w:line="276" w:lineRule="auto"/>
        <w:ind w:right="114" w:firstLine="496"/>
        <w:rPr>
          <w:sz w:val="24"/>
          <w:szCs w:val="24"/>
        </w:rPr>
      </w:pPr>
      <w:r w:rsidRPr="00EF0256">
        <w:rPr>
          <w:b/>
          <w:sz w:val="24"/>
          <w:szCs w:val="24"/>
        </w:rPr>
        <w:t>ARTICLE</w:t>
      </w:r>
      <w:r w:rsidR="001665B5" w:rsidRPr="00EF0256">
        <w:rPr>
          <w:b/>
          <w:sz w:val="24"/>
          <w:szCs w:val="24"/>
        </w:rPr>
        <w:t xml:space="preserve"> 6- </w:t>
      </w:r>
      <w:r w:rsidR="001665B5" w:rsidRPr="00EF0256">
        <w:rPr>
          <w:sz w:val="24"/>
          <w:szCs w:val="24"/>
        </w:rPr>
        <w:t xml:space="preserve">(1)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grades</w:t>
      </w:r>
      <w:proofErr w:type="spellEnd"/>
      <w:r w:rsidR="001665B5" w:rsidRPr="00EF0256">
        <w:rPr>
          <w:sz w:val="24"/>
          <w:szCs w:val="24"/>
        </w:rPr>
        <w:t xml:space="preserve"> of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courses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to</w:t>
      </w:r>
      <w:proofErr w:type="spellEnd"/>
      <w:r w:rsidR="001665B5" w:rsidRPr="00EF0256">
        <w:rPr>
          <w:sz w:val="24"/>
          <w:szCs w:val="24"/>
        </w:rPr>
        <w:t xml:space="preserve"> be </w:t>
      </w:r>
      <w:proofErr w:type="spellStart"/>
      <w:r w:rsidR="001665B5" w:rsidRPr="00EF0256">
        <w:rPr>
          <w:sz w:val="24"/>
          <w:szCs w:val="24"/>
        </w:rPr>
        <w:t>transferred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by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accepting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their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equivalence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are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made</w:t>
      </w:r>
      <w:proofErr w:type="spellEnd"/>
      <w:r w:rsidR="001665B5" w:rsidRPr="00EF0256">
        <w:rPr>
          <w:sz w:val="24"/>
          <w:szCs w:val="24"/>
        </w:rPr>
        <w:t xml:space="preserve"> in </w:t>
      </w:r>
      <w:proofErr w:type="spellStart"/>
      <w:r w:rsidR="001665B5" w:rsidRPr="00EF0256">
        <w:rPr>
          <w:sz w:val="24"/>
          <w:szCs w:val="24"/>
        </w:rPr>
        <w:t>accordance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with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relevant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provisions</w:t>
      </w:r>
      <w:proofErr w:type="spellEnd"/>
      <w:r w:rsidR="001665B5" w:rsidRPr="00EF0256">
        <w:rPr>
          <w:sz w:val="24"/>
          <w:szCs w:val="24"/>
        </w:rPr>
        <w:t xml:space="preserve"> of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Istanbul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Medipol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University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Associate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and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Undergraduate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Education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F05A1E" w:rsidRPr="00EF0256">
        <w:rPr>
          <w:sz w:val="24"/>
          <w:szCs w:val="24"/>
        </w:rPr>
        <w:t>Regulations</w:t>
      </w:r>
      <w:proofErr w:type="spellEnd"/>
      <w:r w:rsidR="00F05A1E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and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Istanbul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Medipol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University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Graduate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Education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Regulations</w:t>
      </w:r>
      <w:proofErr w:type="spellEnd"/>
      <w:r w:rsidR="001665B5" w:rsidRPr="00EF0256">
        <w:rPr>
          <w:sz w:val="24"/>
          <w:szCs w:val="24"/>
        </w:rPr>
        <w:t>.</w:t>
      </w:r>
    </w:p>
    <w:p w14:paraId="3EF24287" w14:textId="77777777" w:rsidR="00F95579" w:rsidRPr="00EF0256" w:rsidRDefault="001665B5">
      <w:pPr>
        <w:pStyle w:val="ListeParagraf"/>
        <w:numPr>
          <w:ilvl w:val="0"/>
          <w:numId w:val="1"/>
        </w:numPr>
        <w:tabs>
          <w:tab w:val="left" w:pos="947"/>
        </w:tabs>
        <w:spacing w:before="202" w:line="276" w:lineRule="auto"/>
        <w:ind w:firstLine="497"/>
        <w:jc w:val="both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following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rules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applied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regarding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grades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that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accepted</w:t>
      </w:r>
      <w:proofErr w:type="spellEnd"/>
      <w:r w:rsidRPr="00EF0256">
        <w:rPr>
          <w:sz w:val="24"/>
          <w:szCs w:val="24"/>
        </w:rPr>
        <w:t xml:space="preserve"> as </w:t>
      </w:r>
      <w:proofErr w:type="spellStart"/>
      <w:r w:rsidRPr="00EF0256">
        <w:rPr>
          <w:sz w:val="24"/>
          <w:szCs w:val="24"/>
        </w:rPr>
        <w:t>equivalent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approved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be </w:t>
      </w:r>
      <w:proofErr w:type="spellStart"/>
      <w:r w:rsidRPr="00EF0256">
        <w:rPr>
          <w:sz w:val="24"/>
          <w:szCs w:val="24"/>
        </w:rPr>
        <w:t>transferred</w:t>
      </w:r>
      <w:proofErr w:type="spellEnd"/>
      <w:r w:rsidRPr="00EF0256">
        <w:rPr>
          <w:sz w:val="24"/>
          <w:szCs w:val="24"/>
        </w:rPr>
        <w:t>:</w:t>
      </w:r>
    </w:p>
    <w:p w14:paraId="3EF24288" w14:textId="77777777" w:rsidR="00F95579" w:rsidRPr="00EF0256" w:rsidRDefault="001665B5">
      <w:pPr>
        <w:pStyle w:val="ListeParagraf"/>
        <w:numPr>
          <w:ilvl w:val="1"/>
          <w:numId w:val="1"/>
        </w:numPr>
        <w:tabs>
          <w:tab w:val="left" w:pos="933"/>
        </w:tabs>
        <w:spacing w:before="202" w:line="276" w:lineRule="auto"/>
        <w:ind w:right="118" w:firstLine="497"/>
        <w:jc w:val="both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If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transferred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score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successful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courses</w:t>
      </w:r>
      <w:proofErr w:type="spellEnd"/>
      <w:r w:rsidRPr="00EF0256">
        <w:rPr>
          <w:sz w:val="24"/>
          <w:szCs w:val="24"/>
        </w:rPr>
        <w:t xml:space="preserve"> is </w:t>
      </w:r>
      <w:proofErr w:type="spellStart"/>
      <w:r w:rsidRPr="00EF0256">
        <w:rPr>
          <w:sz w:val="24"/>
          <w:szCs w:val="24"/>
        </w:rPr>
        <w:t>below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lowest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success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score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our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University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adjustment</w:t>
      </w:r>
      <w:proofErr w:type="spellEnd"/>
      <w:r w:rsidRPr="00EF0256">
        <w:rPr>
          <w:sz w:val="24"/>
          <w:szCs w:val="24"/>
        </w:rPr>
        <w:t xml:space="preserve"> is </w:t>
      </w:r>
      <w:proofErr w:type="spellStart"/>
      <w:r w:rsidRPr="00EF0256">
        <w:rPr>
          <w:sz w:val="24"/>
          <w:szCs w:val="24"/>
        </w:rPr>
        <w:t>made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with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lowest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success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score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success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coefficient</w:t>
      </w:r>
      <w:proofErr w:type="spellEnd"/>
      <w:r w:rsidRPr="00EF0256">
        <w:rPr>
          <w:sz w:val="24"/>
          <w:szCs w:val="24"/>
        </w:rPr>
        <w:t>.</w:t>
      </w:r>
    </w:p>
    <w:p w14:paraId="3EF24289" w14:textId="5810B04A" w:rsidR="00F95579" w:rsidRPr="00EF0256" w:rsidRDefault="001665B5">
      <w:pPr>
        <w:pStyle w:val="ListeParagraf"/>
        <w:numPr>
          <w:ilvl w:val="1"/>
          <w:numId w:val="1"/>
        </w:numPr>
        <w:tabs>
          <w:tab w:val="left" w:pos="959"/>
        </w:tabs>
        <w:spacing w:before="202" w:line="276" w:lineRule="auto"/>
        <w:ind w:right="112" w:firstLine="497"/>
        <w:jc w:val="both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If</w:t>
      </w:r>
      <w:proofErr w:type="spellEnd"/>
      <w:r w:rsidRPr="00EF0256">
        <w:rPr>
          <w:sz w:val="24"/>
          <w:szCs w:val="24"/>
        </w:rPr>
        <w:t xml:space="preserve"> a </w:t>
      </w:r>
      <w:proofErr w:type="spellStart"/>
      <w:r w:rsidRPr="00EF0256">
        <w:rPr>
          <w:sz w:val="24"/>
          <w:szCs w:val="24"/>
        </w:rPr>
        <w:t>coefficient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system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different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from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quadratic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grading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system</w:t>
      </w:r>
      <w:proofErr w:type="spellEnd"/>
      <w:r w:rsidRPr="00EF0256">
        <w:rPr>
          <w:sz w:val="24"/>
          <w:szCs w:val="24"/>
        </w:rPr>
        <w:t xml:space="preserve"> is </w:t>
      </w:r>
      <w:proofErr w:type="spellStart"/>
      <w:r w:rsidRPr="00EF0256">
        <w:rPr>
          <w:sz w:val="24"/>
          <w:szCs w:val="24"/>
        </w:rPr>
        <w:t>applied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transferred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points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converted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into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quaternary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grading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system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our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University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through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proportion</w:t>
      </w:r>
      <w:proofErr w:type="spellEnd"/>
      <w:r w:rsidRPr="00EF0256">
        <w:rPr>
          <w:sz w:val="24"/>
          <w:szCs w:val="24"/>
        </w:rPr>
        <w:t>.</w:t>
      </w:r>
    </w:p>
    <w:p w14:paraId="3EF2428A" w14:textId="77777777" w:rsidR="00F95579" w:rsidRPr="00EF0256" w:rsidRDefault="001665B5">
      <w:pPr>
        <w:pStyle w:val="ListeParagraf"/>
        <w:numPr>
          <w:ilvl w:val="1"/>
          <w:numId w:val="1"/>
        </w:numPr>
        <w:tabs>
          <w:tab w:val="left" w:pos="1007"/>
        </w:tabs>
        <w:spacing w:before="200" w:line="278" w:lineRule="auto"/>
        <w:ind w:firstLine="552"/>
        <w:jc w:val="both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Success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grades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expressed</w:t>
      </w:r>
      <w:proofErr w:type="spellEnd"/>
      <w:r w:rsidRPr="00EF0256">
        <w:rPr>
          <w:sz w:val="24"/>
          <w:szCs w:val="24"/>
        </w:rPr>
        <w:t xml:space="preserve"> as “</w:t>
      </w:r>
      <w:proofErr w:type="spellStart"/>
      <w:r w:rsidRPr="00EF0256">
        <w:rPr>
          <w:sz w:val="24"/>
          <w:szCs w:val="24"/>
        </w:rPr>
        <w:t>Successful</w:t>
      </w:r>
      <w:proofErr w:type="spellEnd"/>
      <w:r w:rsidRPr="00EF0256">
        <w:rPr>
          <w:sz w:val="24"/>
          <w:szCs w:val="24"/>
        </w:rPr>
        <w:t>”, “</w:t>
      </w:r>
      <w:proofErr w:type="spellStart"/>
      <w:r w:rsidRPr="00EF0256">
        <w:rPr>
          <w:sz w:val="24"/>
          <w:szCs w:val="24"/>
        </w:rPr>
        <w:t>Pass</w:t>
      </w:r>
      <w:proofErr w:type="spellEnd"/>
      <w:r w:rsidRPr="00EF0256">
        <w:rPr>
          <w:sz w:val="24"/>
          <w:szCs w:val="24"/>
        </w:rPr>
        <w:t>”, “</w:t>
      </w:r>
      <w:proofErr w:type="spellStart"/>
      <w:r w:rsidRPr="00EF0256">
        <w:rPr>
          <w:sz w:val="24"/>
          <w:szCs w:val="24"/>
        </w:rPr>
        <w:t>Pass</w:t>
      </w:r>
      <w:proofErr w:type="spellEnd"/>
      <w:r w:rsidRPr="00EF0256">
        <w:rPr>
          <w:sz w:val="24"/>
          <w:szCs w:val="24"/>
        </w:rPr>
        <w:t>”, “</w:t>
      </w:r>
      <w:proofErr w:type="spellStart"/>
      <w:r w:rsidRPr="00EF0256">
        <w:rPr>
          <w:sz w:val="24"/>
          <w:szCs w:val="24"/>
        </w:rPr>
        <w:t>Exempt</w:t>
      </w:r>
      <w:proofErr w:type="spellEnd"/>
      <w:r w:rsidRPr="00EF0256">
        <w:rPr>
          <w:sz w:val="24"/>
          <w:szCs w:val="24"/>
        </w:rPr>
        <w:t xml:space="preserve">”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so</w:t>
      </w:r>
      <w:proofErr w:type="spellEnd"/>
      <w:r w:rsidRPr="00EF0256">
        <w:rPr>
          <w:sz w:val="24"/>
          <w:szCs w:val="24"/>
        </w:rPr>
        <w:t xml:space="preserve"> on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accepted</w:t>
      </w:r>
      <w:proofErr w:type="spellEnd"/>
      <w:r w:rsidRPr="00EF0256">
        <w:rPr>
          <w:sz w:val="24"/>
          <w:szCs w:val="24"/>
        </w:rPr>
        <w:t xml:space="preserve"> as </w:t>
      </w:r>
      <w:proofErr w:type="spellStart"/>
      <w:r w:rsidRPr="00EF0256">
        <w:rPr>
          <w:sz w:val="24"/>
          <w:szCs w:val="24"/>
        </w:rPr>
        <w:t>they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not </w:t>
      </w:r>
      <w:proofErr w:type="spellStart"/>
      <w:r w:rsidRPr="00EF0256">
        <w:rPr>
          <w:sz w:val="24"/>
          <w:szCs w:val="24"/>
        </w:rPr>
        <w:t>included</w:t>
      </w:r>
      <w:proofErr w:type="spellEnd"/>
      <w:r w:rsidRPr="00EF0256">
        <w:rPr>
          <w:sz w:val="24"/>
          <w:szCs w:val="24"/>
        </w:rPr>
        <w:t xml:space="preserve"> in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average</w:t>
      </w:r>
      <w:proofErr w:type="spellEnd"/>
      <w:r w:rsidRPr="00EF0256">
        <w:rPr>
          <w:sz w:val="24"/>
          <w:szCs w:val="24"/>
        </w:rPr>
        <w:t>.</w:t>
      </w:r>
    </w:p>
    <w:p w14:paraId="3EF2428B" w14:textId="77777777" w:rsidR="00F95579" w:rsidRPr="00EF0256" w:rsidRDefault="001665B5">
      <w:pPr>
        <w:pStyle w:val="GvdeMetni"/>
        <w:spacing w:before="197"/>
        <w:ind w:left="668"/>
        <w:jc w:val="left"/>
        <w:rPr>
          <w:sz w:val="24"/>
          <w:szCs w:val="24"/>
        </w:rPr>
      </w:pPr>
      <w:proofErr w:type="gramStart"/>
      <w:r w:rsidRPr="00EF0256">
        <w:rPr>
          <w:sz w:val="24"/>
          <w:szCs w:val="24"/>
        </w:rPr>
        <w:t>ç</w:t>
      </w:r>
      <w:proofErr w:type="gramEnd"/>
      <w:r w:rsidRPr="00EF0256">
        <w:rPr>
          <w:sz w:val="24"/>
          <w:szCs w:val="24"/>
        </w:rPr>
        <w:t xml:space="preserve">) Courses </w:t>
      </w:r>
      <w:proofErr w:type="spellStart"/>
      <w:r w:rsidRPr="00EF0256">
        <w:rPr>
          <w:sz w:val="24"/>
          <w:szCs w:val="24"/>
        </w:rPr>
        <w:t>without</w:t>
      </w:r>
      <w:proofErr w:type="spellEnd"/>
      <w:r w:rsidRPr="00EF0256">
        <w:rPr>
          <w:sz w:val="24"/>
          <w:szCs w:val="24"/>
        </w:rPr>
        <w:t xml:space="preserve"> ECTS </w:t>
      </w:r>
      <w:proofErr w:type="spellStart"/>
      <w:r w:rsidRPr="00EF0256">
        <w:rPr>
          <w:sz w:val="24"/>
          <w:szCs w:val="24"/>
        </w:rPr>
        <w:t>value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transferred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based</w:t>
      </w:r>
      <w:proofErr w:type="spellEnd"/>
      <w:r w:rsidRPr="00EF0256">
        <w:rPr>
          <w:sz w:val="24"/>
          <w:szCs w:val="24"/>
        </w:rPr>
        <w:t xml:space="preserve"> on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ECTS </w:t>
      </w:r>
      <w:proofErr w:type="spellStart"/>
      <w:r w:rsidRPr="00EF0256">
        <w:rPr>
          <w:sz w:val="24"/>
          <w:szCs w:val="24"/>
        </w:rPr>
        <w:t>values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courses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are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matched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with</w:t>
      </w:r>
      <w:proofErr w:type="spellEnd"/>
      <w:r w:rsidRPr="00EF0256">
        <w:rPr>
          <w:sz w:val="24"/>
          <w:szCs w:val="24"/>
        </w:rPr>
        <w:t>.</w:t>
      </w:r>
    </w:p>
    <w:p w14:paraId="3EF2428C" w14:textId="77777777" w:rsidR="00F95579" w:rsidRPr="00EF0256" w:rsidRDefault="00F95579">
      <w:pPr>
        <w:pStyle w:val="GvdeMetni"/>
        <w:spacing w:before="8"/>
        <w:ind w:left="0"/>
        <w:jc w:val="left"/>
        <w:rPr>
          <w:sz w:val="24"/>
          <w:szCs w:val="24"/>
        </w:rPr>
      </w:pPr>
    </w:p>
    <w:p w14:paraId="3EF2428D" w14:textId="77777777" w:rsidR="00F95579" w:rsidRPr="00EF0256" w:rsidRDefault="001665B5">
      <w:pPr>
        <w:pStyle w:val="GvdeMetni"/>
        <w:ind w:left="668"/>
        <w:jc w:val="left"/>
        <w:rPr>
          <w:sz w:val="24"/>
          <w:szCs w:val="24"/>
        </w:rPr>
      </w:pPr>
      <w:r w:rsidRPr="00EF0256">
        <w:rPr>
          <w:sz w:val="24"/>
          <w:szCs w:val="24"/>
        </w:rPr>
        <w:t xml:space="preserve">d) </w:t>
      </w:r>
      <w:proofErr w:type="spellStart"/>
      <w:r w:rsidRPr="00EF0256">
        <w:rPr>
          <w:sz w:val="24"/>
          <w:szCs w:val="24"/>
        </w:rPr>
        <w:t>In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transfer of </w:t>
      </w:r>
      <w:proofErr w:type="spellStart"/>
      <w:r w:rsidRPr="00EF0256">
        <w:rPr>
          <w:sz w:val="24"/>
          <w:szCs w:val="24"/>
        </w:rPr>
        <w:t>courses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with</w:t>
      </w:r>
      <w:proofErr w:type="spellEnd"/>
      <w:r w:rsidRPr="00EF0256">
        <w:rPr>
          <w:sz w:val="24"/>
          <w:szCs w:val="24"/>
        </w:rPr>
        <w:t xml:space="preserve"> a </w:t>
      </w:r>
      <w:proofErr w:type="spellStart"/>
      <w:r w:rsidRPr="00EF0256">
        <w:rPr>
          <w:sz w:val="24"/>
          <w:szCs w:val="24"/>
        </w:rPr>
        <w:t>letter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grade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only</w:t>
      </w:r>
      <w:proofErr w:type="spellEnd"/>
      <w:r w:rsidRPr="00EF0256">
        <w:rPr>
          <w:sz w:val="24"/>
          <w:szCs w:val="24"/>
        </w:rPr>
        <w:t xml:space="preserve">,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procedure</w:t>
      </w:r>
      <w:proofErr w:type="spellEnd"/>
      <w:r w:rsidRPr="00EF0256">
        <w:rPr>
          <w:sz w:val="24"/>
          <w:szCs w:val="24"/>
        </w:rPr>
        <w:t xml:space="preserve"> is </w:t>
      </w:r>
      <w:proofErr w:type="spellStart"/>
      <w:r w:rsidRPr="00EF0256">
        <w:rPr>
          <w:sz w:val="24"/>
          <w:szCs w:val="24"/>
        </w:rPr>
        <w:t>carried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out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according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paragraph</w:t>
      </w:r>
      <w:proofErr w:type="spellEnd"/>
      <w:r w:rsidRPr="00EF0256">
        <w:rPr>
          <w:sz w:val="24"/>
          <w:szCs w:val="24"/>
        </w:rPr>
        <w:t xml:space="preserve"> (c).</w:t>
      </w:r>
    </w:p>
    <w:p w14:paraId="3EF2428E" w14:textId="77777777" w:rsidR="00F95579" w:rsidRPr="00EF0256" w:rsidRDefault="00F95579">
      <w:pPr>
        <w:pStyle w:val="GvdeMetni"/>
        <w:spacing w:before="11"/>
        <w:ind w:left="0"/>
        <w:jc w:val="left"/>
        <w:rPr>
          <w:sz w:val="24"/>
          <w:szCs w:val="24"/>
        </w:rPr>
      </w:pPr>
    </w:p>
    <w:p w14:paraId="3EF2428F" w14:textId="77777777" w:rsidR="00F95579" w:rsidRPr="00EF0256" w:rsidRDefault="001665B5" w:rsidP="00C22DD4">
      <w:pPr>
        <w:pStyle w:val="Balk1"/>
        <w:ind w:left="668"/>
        <w:jc w:val="center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Miscellaneous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Provisions</w:t>
      </w:r>
      <w:proofErr w:type="spellEnd"/>
    </w:p>
    <w:p w14:paraId="3EF24290" w14:textId="77777777" w:rsidR="00F95579" w:rsidRPr="00EF0256" w:rsidRDefault="00F95579">
      <w:pPr>
        <w:pStyle w:val="GvdeMetni"/>
        <w:spacing w:before="4"/>
        <w:ind w:left="0"/>
        <w:jc w:val="left"/>
        <w:rPr>
          <w:b/>
          <w:sz w:val="24"/>
          <w:szCs w:val="24"/>
        </w:rPr>
      </w:pPr>
    </w:p>
    <w:p w14:paraId="3EF24291" w14:textId="4B4418E5" w:rsidR="00F95579" w:rsidRPr="00EF0256" w:rsidRDefault="00A90C02">
      <w:pPr>
        <w:pStyle w:val="GvdeMetni"/>
        <w:spacing w:line="276" w:lineRule="auto"/>
        <w:ind w:right="115" w:firstLine="552"/>
        <w:rPr>
          <w:sz w:val="24"/>
          <w:szCs w:val="24"/>
        </w:rPr>
      </w:pPr>
      <w:r w:rsidRPr="00EF0256">
        <w:rPr>
          <w:b/>
          <w:sz w:val="24"/>
          <w:szCs w:val="24"/>
        </w:rPr>
        <w:t>ARTICLE</w:t>
      </w:r>
      <w:r w:rsidR="001665B5" w:rsidRPr="00EF0256">
        <w:rPr>
          <w:b/>
          <w:sz w:val="24"/>
          <w:szCs w:val="24"/>
        </w:rPr>
        <w:t xml:space="preserve"> 7- </w:t>
      </w:r>
      <w:r w:rsidR="001665B5" w:rsidRPr="00EF0256">
        <w:rPr>
          <w:sz w:val="24"/>
          <w:szCs w:val="24"/>
        </w:rPr>
        <w:t xml:space="preserve">(1) </w:t>
      </w:r>
      <w:proofErr w:type="spellStart"/>
      <w:r w:rsidR="001665B5" w:rsidRPr="00EF0256">
        <w:rPr>
          <w:sz w:val="24"/>
          <w:szCs w:val="24"/>
        </w:rPr>
        <w:t>Within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scope</w:t>
      </w:r>
      <w:proofErr w:type="spellEnd"/>
      <w:r w:rsidR="001665B5" w:rsidRPr="00EF0256">
        <w:rPr>
          <w:sz w:val="24"/>
          <w:szCs w:val="24"/>
        </w:rPr>
        <w:t xml:space="preserve"> of </w:t>
      </w:r>
      <w:proofErr w:type="spellStart"/>
      <w:r w:rsidR="001665B5" w:rsidRPr="00EF0256">
        <w:rPr>
          <w:sz w:val="24"/>
          <w:szCs w:val="24"/>
        </w:rPr>
        <w:t>lifelong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learning</w:t>
      </w:r>
      <w:proofErr w:type="spellEnd"/>
      <w:r w:rsidR="001665B5" w:rsidRPr="00EF0256">
        <w:rPr>
          <w:sz w:val="24"/>
          <w:szCs w:val="24"/>
        </w:rPr>
        <w:t xml:space="preserve">, an </w:t>
      </w:r>
      <w:proofErr w:type="spellStart"/>
      <w:r w:rsidR="001665B5" w:rsidRPr="00EF0256">
        <w:rPr>
          <w:sz w:val="24"/>
          <w:szCs w:val="24"/>
        </w:rPr>
        <w:t>exemption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exam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may</w:t>
      </w:r>
      <w:proofErr w:type="spellEnd"/>
      <w:r w:rsidR="001665B5" w:rsidRPr="00EF0256">
        <w:rPr>
          <w:sz w:val="24"/>
          <w:szCs w:val="24"/>
        </w:rPr>
        <w:t xml:space="preserve"> be </w:t>
      </w:r>
      <w:proofErr w:type="spellStart"/>
      <w:r w:rsidR="001665B5" w:rsidRPr="00EF0256">
        <w:rPr>
          <w:sz w:val="24"/>
          <w:szCs w:val="24"/>
        </w:rPr>
        <w:t>opened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by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relevant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unit's</w:t>
      </w:r>
      <w:proofErr w:type="spellEnd"/>
      <w:r w:rsidR="001665B5" w:rsidRPr="00EF0256">
        <w:rPr>
          <w:sz w:val="24"/>
          <w:szCs w:val="24"/>
        </w:rPr>
        <w:t xml:space="preserve"> board of </w:t>
      </w:r>
      <w:proofErr w:type="spellStart"/>
      <w:r w:rsidR="001665B5" w:rsidRPr="00EF0256">
        <w:rPr>
          <w:sz w:val="24"/>
          <w:szCs w:val="24"/>
        </w:rPr>
        <w:t>directors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to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determine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uncertified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or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undocumented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qualifications</w:t>
      </w:r>
      <w:proofErr w:type="spellEnd"/>
      <w:r w:rsidR="001665B5" w:rsidRPr="00EF0256">
        <w:rPr>
          <w:sz w:val="24"/>
          <w:szCs w:val="24"/>
        </w:rPr>
        <w:t xml:space="preserve">. As a </w:t>
      </w:r>
      <w:proofErr w:type="spellStart"/>
      <w:r w:rsidR="001665B5" w:rsidRPr="00EF0256">
        <w:rPr>
          <w:sz w:val="24"/>
          <w:szCs w:val="24"/>
        </w:rPr>
        <w:t>result</w:t>
      </w:r>
      <w:proofErr w:type="spellEnd"/>
      <w:r w:rsidR="001665B5" w:rsidRPr="00EF0256">
        <w:rPr>
          <w:sz w:val="24"/>
          <w:szCs w:val="24"/>
        </w:rPr>
        <w:t xml:space="preserve"> of </w:t>
      </w:r>
      <w:proofErr w:type="spellStart"/>
      <w:r w:rsidR="001665B5" w:rsidRPr="00EF0256">
        <w:rPr>
          <w:sz w:val="24"/>
          <w:szCs w:val="24"/>
        </w:rPr>
        <w:t>this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exam</w:t>
      </w:r>
      <w:proofErr w:type="spellEnd"/>
      <w:r w:rsidR="001665B5" w:rsidRPr="00EF0256">
        <w:rPr>
          <w:sz w:val="24"/>
          <w:szCs w:val="24"/>
        </w:rPr>
        <w:t xml:space="preserve">,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equivalent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course</w:t>
      </w:r>
      <w:proofErr w:type="spellEnd"/>
      <w:r w:rsidR="001665B5" w:rsidRPr="00EF0256">
        <w:rPr>
          <w:sz w:val="24"/>
          <w:szCs w:val="24"/>
        </w:rPr>
        <w:t xml:space="preserve"> is </w:t>
      </w:r>
      <w:proofErr w:type="spellStart"/>
      <w:r w:rsidR="001665B5" w:rsidRPr="00EF0256">
        <w:rPr>
          <w:sz w:val="24"/>
          <w:szCs w:val="24"/>
        </w:rPr>
        <w:t>deemed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exempt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by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giving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proficiency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and</w:t>
      </w:r>
      <w:proofErr w:type="spellEnd"/>
      <w:r w:rsidR="001665B5" w:rsidRPr="00EF0256">
        <w:rPr>
          <w:sz w:val="24"/>
          <w:szCs w:val="24"/>
        </w:rPr>
        <w:t xml:space="preserve"> ECTS </w:t>
      </w:r>
      <w:proofErr w:type="spellStart"/>
      <w:r w:rsidR="001665B5" w:rsidRPr="00EF0256">
        <w:rPr>
          <w:sz w:val="24"/>
          <w:szCs w:val="24"/>
        </w:rPr>
        <w:t>credits</w:t>
      </w:r>
      <w:proofErr w:type="spellEnd"/>
      <w:r w:rsidR="001665B5" w:rsidRPr="00EF0256">
        <w:rPr>
          <w:sz w:val="24"/>
          <w:szCs w:val="24"/>
        </w:rPr>
        <w:t xml:space="preserve">.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proficiency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determined</w:t>
      </w:r>
      <w:proofErr w:type="spellEnd"/>
      <w:r w:rsidR="001665B5" w:rsidRPr="00EF0256">
        <w:rPr>
          <w:sz w:val="24"/>
          <w:szCs w:val="24"/>
        </w:rPr>
        <w:t xml:space="preserve"> in </w:t>
      </w:r>
      <w:proofErr w:type="spellStart"/>
      <w:r w:rsidR="001665B5" w:rsidRPr="00EF0256">
        <w:rPr>
          <w:sz w:val="24"/>
          <w:szCs w:val="24"/>
        </w:rPr>
        <w:t>courses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with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this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feature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cannot</w:t>
      </w:r>
      <w:proofErr w:type="spellEnd"/>
      <w:r w:rsidR="001665B5" w:rsidRPr="00EF0256">
        <w:rPr>
          <w:sz w:val="24"/>
          <w:szCs w:val="24"/>
        </w:rPr>
        <w:t xml:space="preserve"> be </w:t>
      </w:r>
      <w:proofErr w:type="spellStart"/>
      <w:r w:rsidR="001665B5" w:rsidRPr="00EF0256">
        <w:rPr>
          <w:sz w:val="24"/>
          <w:szCs w:val="24"/>
        </w:rPr>
        <w:t>more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than</w:t>
      </w:r>
      <w:proofErr w:type="spellEnd"/>
      <w:r w:rsidR="001665B5" w:rsidRPr="00EF0256">
        <w:rPr>
          <w:sz w:val="24"/>
          <w:szCs w:val="24"/>
        </w:rPr>
        <w:t xml:space="preserve"> 10 (ten) ECTS. </w:t>
      </w:r>
      <w:proofErr w:type="spellStart"/>
      <w:r w:rsidR="001665B5" w:rsidRPr="00EF0256">
        <w:rPr>
          <w:sz w:val="24"/>
          <w:szCs w:val="24"/>
        </w:rPr>
        <w:t>These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courses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are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86031E" w:rsidRPr="00EF0256">
        <w:rPr>
          <w:sz w:val="24"/>
          <w:szCs w:val="24"/>
        </w:rPr>
        <w:t>considered</w:t>
      </w:r>
      <w:proofErr w:type="spellEnd"/>
      <w:r w:rsidR="001665B5" w:rsidRPr="00EF0256">
        <w:rPr>
          <w:sz w:val="24"/>
          <w:szCs w:val="24"/>
        </w:rPr>
        <w:t xml:space="preserve"> in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calculation</w:t>
      </w:r>
      <w:proofErr w:type="spellEnd"/>
      <w:r w:rsidR="001665B5" w:rsidRPr="00EF0256">
        <w:rPr>
          <w:sz w:val="24"/>
          <w:szCs w:val="24"/>
        </w:rPr>
        <w:t xml:space="preserve"> of ECTS, </w:t>
      </w:r>
      <w:proofErr w:type="spellStart"/>
      <w:r w:rsidR="001665B5" w:rsidRPr="00EF0256">
        <w:rPr>
          <w:sz w:val="24"/>
          <w:szCs w:val="24"/>
        </w:rPr>
        <w:t>which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must</w:t>
      </w:r>
      <w:proofErr w:type="spellEnd"/>
      <w:r w:rsidR="001665B5" w:rsidRPr="00EF0256">
        <w:rPr>
          <w:sz w:val="24"/>
          <w:szCs w:val="24"/>
        </w:rPr>
        <w:t xml:space="preserve"> be </w:t>
      </w:r>
      <w:proofErr w:type="spellStart"/>
      <w:r w:rsidR="001665B5" w:rsidRPr="00EF0256">
        <w:rPr>
          <w:sz w:val="24"/>
          <w:szCs w:val="24"/>
        </w:rPr>
        <w:t>completed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for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graduation</w:t>
      </w:r>
      <w:proofErr w:type="spellEnd"/>
      <w:r w:rsidR="001665B5" w:rsidRPr="00EF0256">
        <w:rPr>
          <w:sz w:val="24"/>
          <w:szCs w:val="24"/>
        </w:rPr>
        <w:t xml:space="preserve">, not in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calculation</w:t>
      </w:r>
      <w:proofErr w:type="spellEnd"/>
      <w:r w:rsidR="001665B5" w:rsidRPr="00EF0256">
        <w:rPr>
          <w:sz w:val="24"/>
          <w:szCs w:val="24"/>
        </w:rPr>
        <w:t xml:space="preserve"> of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average</w:t>
      </w:r>
      <w:proofErr w:type="spellEnd"/>
      <w:r w:rsidR="001665B5" w:rsidRPr="00EF0256">
        <w:rPr>
          <w:sz w:val="24"/>
          <w:szCs w:val="24"/>
        </w:rPr>
        <w:t>.</w:t>
      </w:r>
    </w:p>
    <w:p w14:paraId="3EF24292" w14:textId="4420004A" w:rsidR="00F95579" w:rsidRPr="00EF0256" w:rsidRDefault="001665B5">
      <w:pPr>
        <w:pStyle w:val="GvdeMetni"/>
        <w:spacing w:before="200" w:line="276" w:lineRule="auto"/>
        <w:ind w:right="121" w:firstLine="552"/>
        <w:rPr>
          <w:sz w:val="24"/>
          <w:szCs w:val="24"/>
        </w:rPr>
      </w:pPr>
      <w:r w:rsidRPr="00EF0256">
        <w:rPr>
          <w:sz w:val="24"/>
          <w:szCs w:val="24"/>
        </w:rPr>
        <w:t xml:space="preserve">(2)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transfer of </w:t>
      </w:r>
      <w:proofErr w:type="spellStart"/>
      <w:r w:rsidRPr="00EF0256">
        <w:rPr>
          <w:sz w:val="24"/>
          <w:szCs w:val="24"/>
        </w:rPr>
        <w:t>courses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taken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from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other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universities</w:t>
      </w:r>
      <w:proofErr w:type="spellEnd"/>
      <w:r w:rsidRPr="00EF0256">
        <w:rPr>
          <w:sz w:val="24"/>
          <w:szCs w:val="24"/>
        </w:rPr>
        <w:t xml:space="preserve"> as a </w:t>
      </w:r>
      <w:proofErr w:type="spellStart"/>
      <w:r w:rsidRPr="00EF0256">
        <w:rPr>
          <w:sz w:val="24"/>
          <w:szCs w:val="24"/>
        </w:rPr>
        <w:t>special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student</w:t>
      </w:r>
      <w:proofErr w:type="spellEnd"/>
      <w:r w:rsidRPr="00EF0256">
        <w:rPr>
          <w:sz w:val="24"/>
          <w:szCs w:val="24"/>
        </w:rPr>
        <w:t xml:space="preserve"> is </w:t>
      </w:r>
      <w:proofErr w:type="spellStart"/>
      <w:r w:rsidRPr="00EF0256">
        <w:rPr>
          <w:sz w:val="24"/>
          <w:szCs w:val="24"/>
        </w:rPr>
        <w:t>also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carried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out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="0086031E" w:rsidRPr="00EF0256">
        <w:rPr>
          <w:sz w:val="24"/>
          <w:szCs w:val="24"/>
        </w:rPr>
        <w:t>following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provisions</w:t>
      </w:r>
      <w:proofErr w:type="spellEnd"/>
      <w:r w:rsidRPr="00EF0256">
        <w:rPr>
          <w:sz w:val="24"/>
          <w:szCs w:val="24"/>
        </w:rPr>
        <w:t xml:space="preserve"> of </w:t>
      </w:r>
      <w:proofErr w:type="spellStart"/>
      <w:r w:rsidR="00A90C02" w:rsidRPr="00EF0256">
        <w:rPr>
          <w:sz w:val="24"/>
          <w:szCs w:val="24"/>
        </w:rPr>
        <w:t>Article</w:t>
      </w:r>
      <w:proofErr w:type="spellEnd"/>
      <w:r w:rsidRPr="00EF0256">
        <w:rPr>
          <w:sz w:val="24"/>
          <w:szCs w:val="24"/>
        </w:rPr>
        <w:t xml:space="preserve"> 5 (8).</w:t>
      </w:r>
    </w:p>
    <w:p w14:paraId="3EF24293" w14:textId="77777777" w:rsidR="00F95579" w:rsidRPr="00EF0256" w:rsidRDefault="001665B5" w:rsidP="00C22DD4">
      <w:pPr>
        <w:pStyle w:val="Balk1"/>
        <w:spacing w:before="207"/>
        <w:ind w:left="666"/>
        <w:jc w:val="center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Enforcement</w:t>
      </w:r>
      <w:proofErr w:type="spellEnd"/>
    </w:p>
    <w:p w14:paraId="3EF24294" w14:textId="77777777" w:rsidR="00F95579" w:rsidRPr="00EF0256" w:rsidRDefault="00F95579">
      <w:pPr>
        <w:pStyle w:val="GvdeMetni"/>
        <w:spacing w:before="1"/>
        <w:ind w:left="0"/>
        <w:jc w:val="left"/>
        <w:rPr>
          <w:b/>
          <w:sz w:val="24"/>
          <w:szCs w:val="24"/>
        </w:rPr>
      </w:pPr>
    </w:p>
    <w:p w14:paraId="3EF24295" w14:textId="1F965EB7" w:rsidR="00F95579" w:rsidRPr="00EF0256" w:rsidRDefault="00A90C02">
      <w:pPr>
        <w:pStyle w:val="GvdeMetni"/>
        <w:spacing w:line="276" w:lineRule="auto"/>
        <w:ind w:right="115" w:firstLine="552"/>
        <w:rPr>
          <w:sz w:val="24"/>
          <w:szCs w:val="24"/>
        </w:rPr>
      </w:pPr>
      <w:r w:rsidRPr="00EF0256">
        <w:rPr>
          <w:b/>
          <w:sz w:val="24"/>
          <w:szCs w:val="24"/>
        </w:rPr>
        <w:t>ARTICLE</w:t>
      </w:r>
      <w:r w:rsidR="001665B5" w:rsidRPr="00EF0256">
        <w:rPr>
          <w:b/>
          <w:sz w:val="24"/>
          <w:szCs w:val="24"/>
        </w:rPr>
        <w:t xml:space="preserve"> 8- </w:t>
      </w:r>
      <w:r w:rsidR="001665B5" w:rsidRPr="00EF0256">
        <w:rPr>
          <w:sz w:val="24"/>
          <w:szCs w:val="24"/>
        </w:rPr>
        <w:t xml:space="preserve">(1) </w:t>
      </w:r>
      <w:proofErr w:type="spellStart"/>
      <w:r w:rsidR="001665B5" w:rsidRPr="00EF0256">
        <w:rPr>
          <w:sz w:val="24"/>
          <w:szCs w:val="24"/>
        </w:rPr>
        <w:t>This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instruction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enters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into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force</w:t>
      </w:r>
      <w:proofErr w:type="spellEnd"/>
      <w:r w:rsidR="001665B5" w:rsidRPr="00EF0256">
        <w:rPr>
          <w:sz w:val="24"/>
          <w:szCs w:val="24"/>
        </w:rPr>
        <w:t xml:space="preserve"> on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date</w:t>
      </w:r>
      <w:proofErr w:type="spellEnd"/>
      <w:r w:rsidR="001665B5" w:rsidRPr="00EF0256">
        <w:rPr>
          <w:sz w:val="24"/>
          <w:szCs w:val="24"/>
        </w:rPr>
        <w:t xml:space="preserve"> it is </w:t>
      </w:r>
      <w:proofErr w:type="spellStart"/>
      <w:r w:rsidR="001665B5" w:rsidRPr="00EF0256">
        <w:rPr>
          <w:sz w:val="24"/>
          <w:szCs w:val="24"/>
        </w:rPr>
        <w:t>accepted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by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University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proofErr w:type="gramStart"/>
      <w:r w:rsidR="001665B5" w:rsidRPr="00EF0256">
        <w:rPr>
          <w:sz w:val="24"/>
          <w:szCs w:val="24"/>
        </w:rPr>
        <w:t>Senate</w:t>
      </w:r>
      <w:proofErr w:type="spellEnd"/>
      <w:proofErr w:type="gramEnd"/>
      <w:r w:rsidR="001665B5" w:rsidRPr="00EF0256">
        <w:rPr>
          <w:sz w:val="24"/>
          <w:szCs w:val="24"/>
        </w:rPr>
        <w:t xml:space="preserve">. </w:t>
      </w:r>
      <w:proofErr w:type="spellStart"/>
      <w:r w:rsidR="001665B5" w:rsidRPr="00EF0256">
        <w:rPr>
          <w:sz w:val="24"/>
          <w:szCs w:val="24"/>
        </w:rPr>
        <w:t>With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entry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into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force</w:t>
      </w:r>
      <w:proofErr w:type="spellEnd"/>
      <w:r w:rsidR="001665B5" w:rsidRPr="00EF0256">
        <w:rPr>
          <w:sz w:val="24"/>
          <w:szCs w:val="24"/>
        </w:rPr>
        <w:t xml:space="preserve"> of </w:t>
      </w:r>
      <w:proofErr w:type="spellStart"/>
      <w:r w:rsidR="001665B5" w:rsidRPr="00EF0256">
        <w:rPr>
          <w:sz w:val="24"/>
          <w:szCs w:val="24"/>
        </w:rPr>
        <w:t>this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instruction</w:t>
      </w:r>
      <w:proofErr w:type="spellEnd"/>
      <w:r w:rsidR="001665B5" w:rsidRPr="00EF0256">
        <w:rPr>
          <w:sz w:val="24"/>
          <w:szCs w:val="24"/>
        </w:rPr>
        <w:t xml:space="preserve">,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decision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taken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by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University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proofErr w:type="gramStart"/>
      <w:r w:rsidR="001665B5" w:rsidRPr="00EF0256">
        <w:rPr>
          <w:sz w:val="24"/>
          <w:szCs w:val="24"/>
        </w:rPr>
        <w:t>Senate</w:t>
      </w:r>
      <w:proofErr w:type="spellEnd"/>
      <w:proofErr w:type="gram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dated</w:t>
      </w:r>
      <w:proofErr w:type="spellEnd"/>
      <w:r w:rsidR="001665B5" w:rsidRPr="00EF0256">
        <w:rPr>
          <w:sz w:val="24"/>
          <w:szCs w:val="24"/>
        </w:rPr>
        <w:t xml:space="preserve"> 24.03.2015 </w:t>
      </w:r>
      <w:proofErr w:type="spellStart"/>
      <w:r w:rsidR="001665B5" w:rsidRPr="00EF0256">
        <w:rPr>
          <w:sz w:val="24"/>
          <w:szCs w:val="24"/>
        </w:rPr>
        <w:t>and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numbered</w:t>
      </w:r>
      <w:proofErr w:type="spellEnd"/>
      <w:r w:rsidR="001665B5" w:rsidRPr="00EF0256">
        <w:rPr>
          <w:sz w:val="24"/>
          <w:szCs w:val="24"/>
        </w:rPr>
        <w:t xml:space="preserve"> 2015/12-02 has </w:t>
      </w:r>
      <w:proofErr w:type="spellStart"/>
      <w:r w:rsidR="001665B5" w:rsidRPr="00EF0256">
        <w:rPr>
          <w:sz w:val="24"/>
          <w:szCs w:val="24"/>
        </w:rPr>
        <w:t>been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repealed</w:t>
      </w:r>
      <w:proofErr w:type="spellEnd"/>
      <w:r w:rsidR="001665B5" w:rsidRPr="00EF0256">
        <w:rPr>
          <w:sz w:val="24"/>
          <w:szCs w:val="24"/>
        </w:rPr>
        <w:t>.</w:t>
      </w:r>
    </w:p>
    <w:p w14:paraId="3EF24296" w14:textId="77777777" w:rsidR="00F95579" w:rsidRPr="00EF0256" w:rsidRDefault="001665B5" w:rsidP="00C22DD4">
      <w:pPr>
        <w:pStyle w:val="Balk1"/>
        <w:spacing w:before="205"/>
        <w:ind w:left="666"/>
        <w:jc w:val="center"/>
        <w:rPr>
          <w:sz w:val="24"/>
          <w:szCs w:val="24"/>
        </w:rPr>
      </w:pPr>
      <w:proofErr w:type="spellStart"/>
      <w:r w:rsidRPr="00EF0256">
        <w:rPr>
          <w:sz w:val="24"/>
          <w:szCs w:val="24"/>
        </w:rPr>
        <w:t>Execution</w:t>
      </w:r>
      <w:proofErr w:type="spellEnd"/>
    </w:p>
    <w:p w14:paraId="3EF24297" w14:textId="77777777" w:rsidR="00F95579" w:rsidRPr="00EF0256" w:rsidRDefault="00F95579">
      <w:pPr>
        <w:pStyle w:val="GvdeMetni"/>
        <w:spacing w:before="4"/>
        <w:ind w:left="0"/>
        <w:jc w:val="left"/>
        <w:rPr>
          <w:b/>
          <w:sz w:val="24"/>
          <w:szCs w:val="24"/>
        </w:rPr>
      </w:pPr>
    </w:p>
    <w:p w14:paraId="3EF24298" w14:textId="0D355FBC" w:rsidR="00F95579" w:rsidRPr="00EF0256" w:rsidRDefault="00A90C02">
      <w:pPr>
        <w:pStyle w:val="GvdeMetni"/>
        <w:ind w:left="668"/>
        <w:jc w:val="left"/>
        <w:rPr>
          <w:sz w:val="24"/>
          <w:szCs w:val="24"/>
        </w:rPr>
      </w:pPr>
      <w:r w:rsidRPr="00EF0256">
        <w:rPr>
          <w:b/>
          <w:bCs/>
          <w:sz w:val="24"/>
          <w:szCs w:val="24"/>
        </w:rPr>
        <w:t xml:space="preserve">ARTICLE </w:t>
      </w:r>
      <w:r w:rsidR="001665B5" w:rsidRPr="00EF0256">
        <w:rPr>
          <w:b/>
          <w:sz w:val="24"/>
          <w:szCs w:val="24"/>
        </w:rPr>
        <w:t xml:space="preserve"> 9- </w:t>
      </w:r>
      <w:r w:rsidR="001665B5" w:rsidRPr="00EF0256">
        <w:rPr>
          <w:sz w:val="24"/>
          <w:szCs w:val="24"/>
        </w:rPr>
        <w:t xml:space="preserve">(1)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provisions</w:t>
      </w:r>
      <w:proofErr w:type="spellEnd"/>
      <w:r w:rsidR="001665B5" w:rsidRPr="00EF0256">
        <w:rPr>
          <w:sz w:val="24"/>
          <w:szCs w:val="24"/>
        </w:rPr>
        <w:t xml:space="preserve"> of </w:t>
      </w:r>
      <w:proofErr w:type="spellStart"/>
      <w:r w:rsidR="001665B5" w:rsidRPr="00EF0256">
        <w:rPr>
          <w:sz w:val="24"/>
          <w:szCs w:val="24"/>
        </w:rPr>
        <w:t>this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instruction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are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executed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by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the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Rector</w:t>
      </w:r>
      <w:proofErr w:type="spellEnd"/>
      <w:r w:rsidR="001665B5" w:rsidRPr="00EF0256">
        <w:rPr>
          <w:sz w:val="24"/>
          <w:szCs w:val="24"/>
        </w:rPr>
        <w:t xml:space="preserve"> of </w:t>
      </w:r>
      <w:proofErr w:type="spellStart"/>
      <w:r w:rsidR="001665B5" w:rsidRPr="00EF0256">
        <w:rPr>
          <w:sz w:val="24"/>
          <w:szCs w:val="24"/>
        </w:rPr>
        <w:t>Istanbul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Medipol</w:t>
      </w:r>
      <w:proofErr w:type="spellEnd"/>
      <w:r w:rsidR="001665B5" w:rsidRPr="00EF0256">
        <w:rPr>
          <w:sz w:val="24"/>
          <w:szCs w:val="24"/>
        </w:rPr>
        <w:t xml:space="preserve"> </w:t>
      </w:r>
      <w:proofErr w:type="spellStart"/>
      <w:r w:rsidR="001665B5" w:rsidRPr="00EF0256">
        <w:rPr>
          <w:sz w:val="24"/>
          <w:szCs w:val="24"/>
        </w:rPr>
        <w:t>University</w:t>
      </w:r>
      <w:proofErr w:type="spellEnd"/>
      <w:r w:rsidR="001665B5" w:rsidRPr="00EF0256">
        <w:rPr>
          <w:sz w:val="24"/>
          <w:szCs w:val="24"/>
        </w:rPr>
        <w:t xml:space="preserve">. </w:t>
      </w:r>
    </w:p>
    <w:p w14:paraId="3EF24299" w14:textId="77777777" w:rsidR="00F95579" w:rsidRPr="00EF0256" w:rsidRDefault="00F95579">
      <w:pPr>
        <w:pStyle w:val="GvdeMetni"/>
        <w:spacing w:before="8"/>
        <w:ind w:left="0"/>
        <w:jc w:val="left"/>
        <w:rPr>
          <w:sz w:val="24"/>
          <w:szCs w:val="24"/>
        </w:rPr>
      </w:pPr>
    </w:p>
    <w:p w14:paraId="3EF2429A" w14:textId="77777777" w:rsidR="00F95579" w:rsidRPr="00EF0256" w:rsidRDefault="001665B5">
      <w:pPr>
        <w:pStyle w:val="GvdeMetni"/>
        <w:spacing w:before="1"/>
        <w:jc w:val="left"/>
        <w:rPr>
          <w:sz w:val="24"/>
          <w:szCs w:val="24"/>
        </w:rPr>
      </w:pPr>
      <w:r w:rsidRPr="00EF0256">
        <w:rPr>
          <w:sz w:val="24"/>
          <w:szCs w:val="24"/>
        </w:rPr>
        <w:t>*</w:t>
      </w:r>
      <w:proofErr w:type="spellStart"/>
      <w:r w:rsidRPr="00EF0256">
        <w:rPr>
          <w:sz w:val="24"/>
          <w:szCs w:val="24"/>
        </w:rPr>
        <w:t>Adopted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by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the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proofErr w:type="gramStart"/>
      <w:r w:rsidRPr="00EF0256">
        <w:rPr>
          <w:sz w:val="24"/>
          <w:szCs w:val="24"/>
        </w:rPr>
        <w:t>Senate</w:t>
      </w:r>
      <w:proofErr w:type="spellEnd"/>
      <w:proofErr w:type="gram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decision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dated</w:t>
      </w:r>
      <w:proofErr w:type="spellEnd"/>
      <w:r w:rsidRPr="00EF0256">
        <w:rPr>
          <w:sz w:val="24"/>
          <w:szCs w:val="24"/>
        </w:rPr>
        <w:t xml:space="preserve"> 23/06/2015 </w:t>
      </w:r>
      <w:proofErr w:type="spellStart"/>
      <w:r w:rsidRPr="00EF0256">
        <w:rPr>
          <w:sz w:val="24"/>
          <w:szCs w:val="24"/>
        </w:rPr>
        <w:t>and</w:t>
      </w:r>
      <w:proofErr w:type="spellEnd"/>
      <w:r w:rsidRPr="00EF0256">
        <w:rPr>
          <w:sz w:val="24"/>
          <w:szCs w:val="24"/>
        </w:rPr>
        <w:t xml:space="preserve"> </w:t>
      </w:r>
      <w:proofErr w:type="spellStart"/>
      <w:r w:rsidRPr="00EF0256">
        <w:rPr>
          <w:sz w:val="24"/>
          <w:szCs w:val="24"/>
        </w:rPr>
        <w:t>numbered</w:t>
      </w:r>
      <w:proofErr w:type="spellEnd"/>
      <w:r w:rsidRPr="00EF0256">
        <w:rPr>
          <w:sz w:val="24"/>
          <w:szCs w:val="24"/>
        </w:rPr>
        <w:t xml:space="preserve"> 2015/22-01.</w:t>
      </w:r>
    </w:p>
    <w:sectPr w:rsidR="00F95579" w:rsidRPr="00EF0256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4067"/>
    <w:multiLevelType w:val="hybridMultilevel"/>
    <w:tmpl w:val="E72E64D2"/>
    <w:lvl w:ilvl="0" w:tplc="22D6AF9C">
      <w:start w:val="2"/>
      <w:numFmt w:val="decimal"/>
      <w:lvlText w:val="(%1)"/>
      <w:lvlJc w:val="left"/>
      <w:pPr>
        <w:ind w:left="116" w:hanging="3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8940D656">
      <w:start w:val="1"/>
      <w:numFmt w:val="lowerLetter"/>
      <w:lvlText w:val="(%2)"/>
      <w:lvlJc w:val="left"/>
      <w:pPr>
        <w:ind w:left="116" w:hanging="30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462C7FDC">
      <w:numFmt w:val="bullet"/>
      <w:lvlText w:val="•"/>
      <w:lvlJc w:val="left"/>
      <w:pPr>
        <w:ind w:left="1957" w:hanging="305"/>
      </w:pPr>
      <w:rPr>
        <w:rFonts w:hint="default"/>
      </w:rPr>
    </w:lvl>
    <w:lvl w:ilvl="3" w:tplc="80825A64">
      <w:numFmt w:val="bullet"/>
      <w:lvlText w:val="•"/>
      <w:lvlJc w:val="left"/>
      <w:pPr>
        <w:ind w:left="2875" w:hanging="305"/>
      </w:pPr>
      <w:rPr>
        <w:rFonts w:hint="default"/>
      </w:rPr>
    </w:lvl>
    <w:lvl w:ilvl="4" w:tplc="1B40B33A">
      <w:numFmt w:val="bullet"/>
      <w:lvlText w:val="•"/>
      <w:lvlJc w:val="left"/>
      <w:pPr>
        <w:ind w:left="3794" w:hanging="305"/>
      </w:pPr>
      <w:rPr>
        <w:rFonts w:hint="default"/>
      </w:rPr>
    </w:lvl>
    <w:lvl w:ilvl="5" w:tplc="477A674E">
      <w:numFmt w:val="bullet"/>
      <w:lvlText w:val="•"/>
      <w:lvlJc w:val="left"/>
      <w:pPr>
        <w:ind w:left="4713" w:hanging="305"/>
      </w:pPr>
      <w:rPr>
        <w:rFonts w:hint="default"/>
      </w:rPr>
    </w:lvl>
    <w:lvl w:ilvl="6" w:tplc="AE80DAD4">
      <w:numFmt w:val="bullet"/>
      <w:lvlText w:val="•"/>
      <w:lvlJc w:val="left"/>
      <w:pPr>
        <w:ind w:left="5631" w:hanging="305"/>
      </w:pPr>
      <w:rPr>
        <w:rFonts w:hint="default"/>
      </w:rPr>
    </w:lvl>
    <w:lvl w:ilvl="7" w:tplc="78D26CEE">
      <w:numFmt w:val="bullet"/>
      <w:lvlText w:val="•"/>
      <w:lvlJc w:val="left"/>
      <w:pPr>
        <w:ind w:left="6550" w:hanging="305"/>
      </w:pPr>
      <w:rPr>
        <w:rFonts w:hint="default"/>
      </w:rPr>
    </w:lvl>
    <w:lvl w:ilvl="8" w:tplc="41248172">
      <w:numFmt w:val="bullet"/>
      <w:lvlText w:val="•"/>
      <w:lvlJc w:val="left"/>
      <w:pPr>
        <w:ind w:left="7469" w:hanging="305"/>
      </w:pPr>
      <w:rPr>
        <w:rFonts w:hint="default"/>
      </w:rPr>
    </w:lvl>
  </w:abstractNum>
  <w:abstractNum w:abstractNumId="1" w15:restartNumberingAfterBreak="0">
    <w:nsid w:val="39D559AA"/>
    <w:multiLevelType w:val="hybridMultilevel"/>
    <w:tmpl w:val="0F5A2ACE"/>
    <w:lvl w:ilvl="0" w:tplc="B04E2258">
      <w:start w:val="2"/>
      <w:numFmt w:val="decimal"/>
      <w:lvlText w:val="(%1)"/>
      <w:lvlJc w:val="left"/>
      <w:pPr>
        <w:ind w:left="116" w:hanging="32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EF9E1824">
      <w:numFmt w:val="bullet"/>
      <w:lvlText w:val="•"/>
      <w:lvlJc w:val="left"/>
      <w:pPr>
        <w:ind w:left="1038" w:hanging="326"/>
      </w:pPr>
      <w:rPr>
        <w:rFonts w:hint="default"/>
      </w:rPr>
    </w:lvl>
    <w:lvl w:ilvl="2" w:tplc="5D726C2E">
      <w:numFmt w:val="bullet"/>
      <w:lvlText w:val="•"/>
      <w:lvlJc w:val="left"/>
      <w:pPr>
        <w:ind w:left="1957" w:hanging="326"/>
      </w:pPr>
      <w:rPr>
        <w:rFonts w:hint="default"/>
      </w:rPr>
    </w:lvl>
    <w:lvl w:ilvl="3" w:tplc="7806F546">
      <w:numFmt w:val="bullet"/>
      <w:lvlText w:val="•"/>
      <w:lvlJc w:val="left"/>
      <w:pPr>
        <w:ind w:left="2875" w:hanging="326"/>
      </w:pPr>
      <w:rPr>
        <w:rFonts w:hint="default"/>
      </w:rPr>
    </w:lvl>
    <w:lvl w:ilvl="4" w:tplc="235CEB6C">
      <w:numFmt w:val="bullet"/>
      <w:lvlText w:val="•"/>
      <w:lvlJc w:val="left"/>
      <w:pPr>
        <w:ind w:left="3794" w:hanging="326"/>
      </w:pPr>
      <w:rPr>
        <w:rFonts w:hint="default"/>
      </w:rPr>
    </w:lvl>
    <w:lvl w:ilvl="5" w:tplc="47061DA6">
      <w:numFmt w:val="bullet"/>
      <w:lvlText w:val="•"/>
      <w:lvlJc w:val="left"/>
      <w:pPr>
        <w:ind w:left="4713" w:hanging="326"/>
      </w:pPr>
      <w:rPr>
        <w:rFonts w:hint="default"/>
      </w:rPr>
    </w:lvl>
    <w:lvl w:ilvl="6" w:tplc="B79447C8">
      <w:numFmt w:val="bullet"/>
      <w:lvlText w:val="•"/>
      <w:lvlJc w:val="left"/>
      <w:pPr>
        <w:ind w:left="5631" w:hanging="326"/>
      </w:pPr>
      <w:rPr>
        <w:rFonts w:hint="default"/>
      </w:rPr>
    </w:lvl>
    <w:lvl w:ilvl="7" w:tplc="51D8272C">
      <w:numFmt w:val="bullet"/>
      <w:lvlText w:val="•"/>
      <w:lvlJc w:val="left"/>
      <w:pPr>
        <w:ind w:left="6550" w:hanging="326"/>
      </w:pPr>
      <w:rPr>
        <w:rFonts w:hint="default"/>
      </w:rPr>
    </w:lvl>
    <w:lvl w:ilvl="8" w:tplc="493CE67E">
      <w:numFmt w:val="bullet"/>
      <w:lvlText w:val="•"/>
      <w:lvlJc w:val="left"/>
      <w:pPr>
        <w:ind w:left="7469" w:hanging="326"/>
      </w:pPr>
      <w:rPr>
        <w:rFonts w:hint="default"/>
      </w:rPr>
    </w:lvl>
  </w:abstractNum>
  <w:abstractNum w:abstractNumId="2" w15:restartNumberingAfterBreak="0">
    <w:nsid w:val="6EE75037"/>
    <w:multiLevelType w:val="hybridMultilevel"/>
    <w:tmpl w:val="40242CEA"/>
    <w:lvl w:ilvl="0" w:tplc="697AF108">
      <w:start w:val="2"/>
      <w:numFmt w:val="decimal"/>
      <w:lvlText w:val="(%1)"/>
      <w:lvlJc w:val="left"/>
      <w:pPr>
        <w:ind w:left="116" w:hanging="3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56347B52">
      <w:start w:val="1"/>
      <w:numFmt w:val="lowerLetter"/>
      <w:lvlText w:val="(%2)"/>
      <w:lvlJc w:val="left"/>
      <w:pPr>
        <w:ind w:left="116" w:hanging="31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5B0E8346">
      <w:numFmt w:val="bullet"/>
      <w:lvlText w:val="•"/>
      <w:lvlJc w:val="left"/>
      <w:pPr>
        <w:ind w:left="1957" w:hanging="319"/>
      </w:pPr>
      <w:rPr>
        <w:rFonts w:hint="default"/>
      </w:rPr>
    </w:lvl>
    <w:lvl w:ilvl="3" w:tplc="B240AF56">
      <w:numFmt w:val="bullet"/>
      <w:lvlText w:val="•"/>
      <w:lvlJc w:val="left"/>
      <w:pPr>
        <w:ind w:left="2875" w:hanging="319"/>
      </w:pPr>
      <w:rPr>
        <w:rFonts w:hint="default"/>
      </w:rPr>
    </w:lvl>
    <w:lvl w:ilvl="4" w:tplc="18DE4142">
      <w:numFmt w:val="bullet"/>
      <w:lvlText w:val="•"/>
      <w:lvlJc w:val="left"/>
      <w:pPr>
        <w:ind w:left="3794" w:hanging="319"/>
      </w:pPr>
      <w:rPr>
        <w:rFonts w:hint="default"/>
      </w:rPr>
    </w:lvl>
    <w:lvl w:ilvl="5" w:tplc="E5E8A8E4">
      <w:numFmt w:val="bullet"/>
      <w:lvlText w:val="•"/>
      <w:lvlJc w:val="left"/>
      <w:pPr>
        <w:ind w:left="4713" w:hanging="319"/>
      </w:pPr>
      <w:rPr>
        <w:rFonts w:hint="default"/>
      </w:rPr>
    </w:lvl>
    <w:lvl w:ilvl="6" w:tplc="B95CB618">
      <w:numFmt w:val="bullet"/>
      <w:lvlText w:val="•"/>
      <w:lvlJc w:val="left"/>
      <w:pPr>
        <w:ind w:left="5631" w:hanging="319"/>
      </w:pPr>
      <w:rPr>
        <w:rFonts w:hint="default"/>
      </w:rPr>
    </w:lvl>
    <w:lvl w:ilvl="7" w:tplc="3F642876">
      <w:numFmt w:val="bullet"/>
      <w:lvlText w:val="•"/>
      <w:lvlJc w:val="left"/>
      <w:pPr>
        <w:ind w:left="6550" w:hanging="319"/>
      </w:pPr>
      <w:rPr>
        <w:rFonts w:hint="default"/>
      </w:rPr>
    </w:lvl>
    <w:lvl w:ilvl="8" w:tplc="8AE6329C">
      <w:numFmt w:val="bullet"/>
      <w:lvlText w:val="•"/>
      <w:lvlJc w:val="left"/>
      <w:pPr>
        <w:ind w:left="7469" w:hanging="31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jE1MLIwtjQzt7RQ0lEKTi0uzszPAykwrQUA76767ywAAAA="/>
  </w:docVars>
  <w:rsids>
    <w:rsidRoot w:val="00F95579"/>
    <w:rsid w:val="00107C77"/>
    <w:rsid w:val="001665B5"/>
    <w:rsid w:val="00580048"/>
    <w:rsid w:val="00783A9E"/>
    <w:rsid w:val="0086031E"/>
    <w:rsid w:val="009F222B"/>
    <w:rsid w:val="00A90C02"/>
    <w:rsid w:val="00B57E56"/>
    <w:rsid w:val="00C22DD4"/>
    <w:rsid w:val="00C32E3F"/>
    <w:rsid w:val="00EF0256"/>
    <w:rsid w:val="00F05A1E"/>
    <w:rsid w:val="00F95579"/>
    <w:rsid w:val="00F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4257"/>
  <w15:docId w15:val="{F6498145-BAB0-4783-9AA4-3E20AF11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2226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  <w:jc w:val="both"/>
    </w:pPr>
  </w:style>
  <w:style w:type="paragraph" w:styleId="ListeParagraf">
    <w:name w:val="List Paragraph"/>
    <w:basedOn w:val="Normal"/>
    <w:uiPriority w:val="1"/>
    <w:qFormat/>
    <w:pPr>
      <w:spacing w:before="201"/>
      <w:ind w:left="116" w:right="117" w:firstLine="4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Hüsamettin OKTAY</dc:creator>
  <cp:lastModifiedBy>Şebnem GÜNGÖR</cp:lastModifiedBy>
  <cp:revision>2</cp:revision>
  <dcterms:created xsi:type="dcterms:W3CDTF">2021-10-20T10:23:00Z</dcterms:created>
  <dcterms:modified xsi:type="dcterms:W3CDTF">2021-10-20T10:23:00Z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2021-07-26T00:00:00Z</vt:filetime>
  </property>
</Properties>
</file>