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CB50D" w14:textId="77777777" w:rsidR="00633B11" w:rsidRDefault="009B30DB" w:rsidP="00511AAF">
      <w:pPr>
        <w:pStyle w:val="Balk1"/>
        <w:spacing w:before="77" w:line="360" w:lineRule="auto"/>
        <w:ind w:left="2281" w:right="2281"/>
        <w:jc w:val="center"/>
      </w:pPr>
      <w:r>
        <w:t>T.C.</w:t>
      </w:r>
    </w:p>
    <w:p w14:paraId="289CB50E" w14:textId="7989814B" w:rsidR="00633B11" w:rsidRDefault="009B30DB" w:rsidP="00511AAF">
      <w:pPr>
        <w:pStyle w:val="P68B1DB1-Normal1"/>
        <w:spacing w:before="43" w:line="360" w:lineRule="auto"/>
        <w:ind w:left="2281" w:right="2280"/>
        <w:jc w:val="center"/>
      </w:pPr>
      <w:r>
        <w:t>ISTANBUL MEDIPOL UNIVERSITY</w:t>
      </w:r>
    </w:p>
    <w:p w14:paraId="2B320CD0" w14:textId="77777777" w:rsidR="00853849" w:rsidRDefault="00853849" w:rsidP="00511AAF">
      <w:pPr>
        <w:pStyle w:val="P68B1DB1-Normal1"/>
        <w:spacing w:before="43" w:line="360" w:lineRule="auto"/>
        <w:ind w:left="2281" w:right="2280"/>
        <w:jc w:val="center"/>
      </w:pPr>
    </w:p>
    <w:p w14:paraId="61422BDD" w14:textId="46D56501" w:rsidR="00853849" w:rsidRDefault="009B30DB" w:rsidP="00511AAF">
      <w:pPr>
        <w:pStyle w:val="P68B1DB1-Normal1"/>
        <w:spacing w:before="40" w:line="360" w:lineRule="auto"/>
        <w:ind w:left="2281" w:right="2287"/>
        <w:jc w:val="center"/>
      </w:pPr>
      <w:r>
        <w:t>E</w:t>
      </w:r>
      <w:r w:rsidR="005F6751">
        <w:t xml:space="preserve">UROPEAN UNION EDUCATION AND YOUTH </w:t>
      </w:r>
      <w:r w:rsidR="00853849">
        <w:t>PROGRAMME</w:t>
      </w:r>
      <w:r w:rsidR="005F6751">
        <w:t>S</w:t>
      </w:r>
    </w:p>
    <w:p w14:paraId="289CB50F" w14:textId="5D97D2B5" w:rsidR="00853849" w:rsidRDefault="00DD252F" w:rsidP="00511AAF">
      <w:pPr>
        <w:pStyle w:val="P68B1DB1-Normal1"/>
        <w:spacing w:before="40" w:line="360" w:lineRule="auto"/>
        <w:ind w:left="2281" w:right="2287"/>
        <w:jc w:val="center"/>
      </w:pPr>
      <w:r>
        <w:t>ERASMUS</w:t>
      </w:r>
      <w:r w:rsidR="00DE074A">
        <w:t xml:space="preserve">+ </w:t>
      </w:r>
      <w:r w:rsidR="00853849">
        <w:t>PROGRAMME</w:t>
      </w:r>
      <w:r w:rsidR="00DE074A">
        <w:t xml:space="preserve"> STUDENT/STUFF MOBILITY BETWEEN </w:t>
      </w:r>
      <w:r w:rsidR="00853849">
        <w:t>PROGRAMME</w:t>
      </w:r>
      <w:r w:rsidR="00DE074A">
        <w:t xml:space="preserve"> COUNTRIES INSTRUCTION</w:t>
      </w:r>
    </w:p>
    <w:p w14:paraId="1FBB8FD4" w14:textId="77777777" w:rsidR="00853849" w:rsidRDefault="00853849" w:rsidP="00853849">
      <w:pPr>
        <w:pStyle w:val="P68B1DB1-Normal1"/>
        <w:spacing w:before="40" w:line="276" w:lineRule="auto"/>
        <w:ind w:left="2281" w:right="2287"/>
        <w:jc w:val="center"/>
      </w:pPr>
    </w:p>
    <w:p w14:paraId="289CB510" w14:textId="353B9A15" w:rsidR="00633B11" w:rsidRDefault="009B30DB" w:rsidP="00511AAF">
      <w:pPr>
        <w:pStyle w:val="P68B1DB1-Normal1"/>
        <w:spacing w:line="552" w:lineRule="auto"/>
        <w:ind w:left="1018" w:right="1022"/>
        <w:jc w:val="center"/>
      </w:pPr>
      <w:r>
        <w:t>FIRST SECTION</w:t>
      </w:r>
    </w:p>
    <w:p w14:paraId="289CB511" w14:textId="39DF59DF" w:rsidR="00633B11" w:rsidRDefault="00511AAF" w:rsidP="00511AAF">
      <w:pPr>
        <w:pStyle w:val="P68B1DB1-Normal1"/>
        <w:spacing w:before="12"/>
        <w:ind w:left="824"/>
      </w:pPr>
      <w:r>
        <w:t xml:space="preserve">                                                   </w:t>
      </w:r>
      <w:proofErr w:type="spellStart"/>
      <w:r w:rsidR="00853849">
        <w:t>Aim</w:t>
      </w:r>
      <w:proofErr w:type="spellEnd"/>
      <w:r w:rsidR="009B30DB">
        <w:t xml:space="preserve"> </w:t>
      </w:r>
      <w:proofErr w:type="spellStart"/>
      <w:r w:rsidR="009B30DB">
        <w:t>and</w:t>
      </w:r>
      <w:proofErr w:type="spellEnd"/>
      <w:r w:rsidR="009B30DB">
        <w:t xml:space="preserve"> </w:t>
      </w:r>
      <w:proofErr w:type="spellStart"/>
      <w:r w:rsidR="009B30DB">
        <w:t>Scope</w:t>
      </w:r>
      <w:proofErr w:type="spellEnd"/>
    </w:p>
    <w:p w14:paraId="289CB512" w14:textId="48879534" w:rsidR="00633B11" w:rsidRDefault="009B30DB">
      <w:pPr>
        <w:pStyle w:val="GvdeMetni"/>
        <w:spacing w:before="43" w:line="276" w:lineRule="auto"/>
        <w:ind w:right="113" w:firstLine="707"/>
      </w:pPr>
      <w:r>
        <w:rPr>
          <w:b/>
        </w:rPr>
        <w:t xml:space="preserve">ARTICLE </w:t>
      </w:r>
      <w:proofErr w:type="gramStart"/>
      <w:r>
        <w:rPr>
          <w:b/>
        </w:rPr>
        <w:t>1 -</w:t>
      </w:r>
      <w:proofErr w:type="gramEnd"/>
      <w:r>
        <w:rPr>
          <w:b/>
        </w:rPr>
        <w:t xml:space="preserve"> </w:t>
      </w:r>
      <w:r>
        <w:t xml:space="preserve">(1) </w:t>
      </w:r>
      <w:proofErr w:type="spellStart"/>
      <w:r>
        <w:t>The</w:t>
      </w:r>
      <w:proofErr w:type="spellEnd"/>
      <w:r>
        <w:t xml:space="preserve"> </w:t>
      </w:r>
      <w:proofErr w:type="spellStart"/>
      <w:r w:rsidR="00853849">
        <w:t>aim</w:t>
      </w:r>
      <w:proofErr w:type="spellEnd"/>
      <w:r>
        <w:t xml:space="preserve"> of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instruction</w:t>
      </w:r>
      <w:proofErr w:type="spellEnd"/>
      <w:r>
        <w:t xml:space="preserve"> is </w:t>
      </w:r>
      <w:proofErr w:type="spellStart"/>
      <w:r>
        <w:t>Lifelong</w:t>
      </w:r>
      <w:proofErr w:type="spellEnd"/>
      <w:r>
        <w:t xml:space="preserve"> Learning, </w:t>
      </w:r>
      <w:proofErr w:type="spellStart"/>
      <w:r>
        <w:t>Erasmus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is </w:t>
      </w:r>
      <w:proofErr w:type="spellStart"/>
      <w:r>
        <w:t>among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Union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Youth</w:t>
      </w:r>
      <w:proofErr w:type="spellEnd"/>
      <w:r>
        <w:t xml:space="preserve"> </w:t>
      </w:r>
      <w:proofErr w:type="spellStart"/>
      <w:r w:rsidR="00853849">
        <w:t>Programme</w:t>
      </w:r>
      <w:r>
        <w:t>s</w:t>
      </w:r>
      <w:proofErr w:type="spellEnd"/>
      <w:r>
        <w:t xml:space="preserve">,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Istanbul</w:t>
      </w:r>
      <w:proofErr w:type="spellEnd"/>
      <w:r>
        <w:t xml:space="preserve"> </w:t>
      </w:r>
      <w:proofErr w:type="spellStart"/>
      <w:r>
        <w:t>Medipol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universities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higher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institutions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businesses</w:t>
      </w:r>
      <w:proofErr w:type="spellEnd"/>
      <w:r>
        <w:t xml:space="preserve"> </w:t>
      </w:r>
      <w:proofErr w:type="spellStart"/>
      <w:r>
        <w:t>included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 w:rsidR="00853849">
        <w:t>programme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, </w:t>
      </w:r>
      <w:proofErr w:type="spellStart"/>
      <w:r>
        <w:t>training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internship</w:t>
      </w:r>
      <w:proofErr w:type="spellEnd"/>
      <w:r>
        <w:t xml:space="preserve"> (</w:t>
      </w:r>
      <w:proofErr w:type="spellStart"/>
      <w:r>
        <w:t>placement</w:t>
      </w:r>
      <w:proofErr w:type="spellEnd"/>
      <w:r>
        <w:t xml:space="preserve">) </w:t>
      </w:r>
      <w:proofErr w:type="spellStart"/>
      <w:r>
        <w:t>purposes</w:t>
      </w:r>
      <w:proofErr w:type="spellEnd"/>
      <w:r>
        <w:t xml:space="preserve">.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regulate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processes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staff</w:t>
      </w:r>
      <w:proofErr w:type="spellEnd"/>
      <w:r>
        <w:t>.</w:t>
      </w:r>
    </w:p>
    <w:p w14:paraId="1473D9E3" w14:textId="79ABE9A2" w:rsidR="00511AAF" w:rsidRDefault="00511AAF" w:rsidP="00511AAF">
      <w:pPr>
        <w:pStyle w:val="GvdeMetni"/>
        <w:spacing w:before="43" w:line="276" w:lineRule="auto"/>
        <w:ind w:left="0" w:right="113" w:firstLine="0"/>
        <w:jc w:val="center"/>
      </w:pPr>
      <w:proofErr w:type="spellStart"/>
      <w:r>
        <w:rPr>
          <w:b/>
        </w:rPr>
        <w:t>Definitions</w:t>
      </w:r>
      <w:proofErr w:type="spellEnd"/>
    </w:p>
    <w:p w14:paraId="289CB514" w14:textId="70CCDB42" w:rsidR="00633B11" w:rsidRDefault="009B30DB" w:rsidP="00061D8B">
      <w:pPr>
        <w:pStyle w:val="Balk1"/>
        <w:spacing w:before="1" w:line="276" w:lineRule="auto"/>
        <w:ind w:left="0" w:right="6859"/>
      </w:pPr>
      <w:r>
        <w:t>ARTICLE 2 – (1)</w:t>
      </w:r>
    </w:p>
    <w:p w14:paraId="289CB515" w14:textId="663307A6" w:rsidR="00633B11" w:rsidRDefault="009B30DB">
      <w:pPr>
        <w:pStyle w:val="P68B1DB1-ListParagraph2"/>
        <w:numPr>
          <w:ilvl w:val="0"/>
          <w:numId w:val="6"/>
        </w:numPr>
        <w:tabs>
          <w:tab w:val="left" w:pos="1084"/>
        </w:tabs>
        <w:spacing w:before="1" w:line="278" w:lineRule="auto"/>
        <w:ind w:right="120" w:firstLine="708"/>
        <w:jc w:val="both"/>
      </w:pPr>
      <w:proofErr w:type="spellStart"/>
      <w:r>
        <w:t>Unit</w:t>
      </w:r>
      <w:proofErr w:type="spellEnd"/>
      <w:r>
        <w:t xml:space="preserve">: </w:t>
      </w:r>
      <w:proofErr w:type="spellStart"/>
      <w:r>
        <w:t>Department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 w:rsidR="00853849">
        <w:t>programme</w:t>
      </w:r>
      <w:proofErr w:type="spellEnd"/>
      <w:r>
        <w:t xml:space="preserve"> of </w:t>
      </w:r>
      <w:proofErr w:type="spellStart"/>
      <w:r>
        <w:t>Faculty</w:t>
      </w:r>
      <w:proofErr w:type="spellEnd"/>
      <w:r>
        <w:t xml:space="preserve">, School, </w:t>
      </w:r>
      <w:proofErr w:type="spellStart"/>
      <w:r>
        <w:t>Institute</w:t>
      </w:r>
      <w:proofErr w:type="spellEnd"/>
      <w:r>
        <w:t xml:space="preserve">, </w:t>
      </w:r>
      <w:proofErr w:type="spellStart"/>
      <w:r>
        <w:t>Vocational</w:t>
      </w:r>
      <w:proofErr w:type="spellEnd"/>
      <w:r>
        <w:t xml:space="preserve"> School </w:t>
      </w:r>
      <w:proofErr w:type="spellStart"/>
      <w:r>
        <w:t>affiliated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Istanbul</w:t>
      </w:r>
      <w:proofErr w:type="spellEnd"/>
      <w:r>
        <w:t xml:space="preserve"> </w:t>
      </w:r>
      <w:proofErr w:type="spellStart"/>
      <w:r>
        <w:t>Medipol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>,</w:t>
      </w:r>
    </w:p>
    <w:p w14:paraId="289CB516" w14:textId="37C06A08" w:rsidR="00633B11" w:rsidRDefault="009B30DB">
      <w:pPr>
        <w:pStyle w:val="P68B1DB1-ListParagraph2"/>
        <w:numPr>
          <w:ilvl w:val="0"/>
          <w:numId w:val="6"/>
        </w:numPr>
        <w:tabs>
          <w:tab w:val="left" w:pos="1101"/>
        </w:tabs>
        <w:spacing w:line="276" w:lineRule="auto"/>
        <w:ind w:right="119" w:firstLine="708"/>
        <w:jc w:val="both"/>
      </w:pPr>
      <w:r>
        <w:t xml:space="preserve">Training </w:t>
      </w:r>
      <w:proofErr w:type="spellStart"/>
      <w:r>
        <w:t>Agreement</w:t>
      </w:r>
      <w:proofErr w:type="spellEnd"/>
      <w:r>
        <w:t xml:space="preserve">: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training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</w:t>
      </w:r>
      <w:proofErr w:type="spellStart"/>
      <w:r>
        <w:t>regarding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 w:rsidR="00853849">
        <w:t>programme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made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placement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 in </w:t>
      </w:r>
      <w:proofErr w:type="spellStart"/>
      <w:r>
        <w:t>internship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>,</w:t>
      </w:r>
    </w:p>
    <w:p w14:paraId="289CB517" w14:textId="6F7AE5E4" w:rsidR="00633B11" w:rsidRDefault="009B30DB">
      <w:pPr>
        <w:pStyle w:val="P68B1DB1-ListParagraph2"/>
        <w:numPr>
          <w:ilvl w:val="0"/>
          <w:numId w:val="6"/>
        </w:numPr>
        <w:tabs>
          <w:tab w:val="left" w:pos="1101"/>
        </w:tabs>
        <w:spacing w:before="3" w:line="278" w:lineRule="auto"/>
        <w:ind w:right="119" w:firstLine="708"/>
        <w:jc w:val="both"/>
      </w:pPr>
      <w:proofErr w:type="spellStart"/>
      <w:r>
        <w:t>Bilateral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: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 w:rsidR="009A5AA4">
        <w:t>/</w:t>
      </w:r>
      <w:proofErr w:type="spellStart"/>
      <w:r>
        <w:t>lecturer</w:t>
      </w:r>
      <w:proofErr w:type="spellEnd"/>
      <w:r w:rsidR="00FD27D1">
        <w:t>/</w:t>
      </w:r>
      <w:proofErr w:type="spellStart"/>
      <w:r>
        <w:t>personnel</w:t>
      </w:r>
      <w:proofErr w:type="spellEnd"/>
      <w:r>
        <w:t xml:space="preserve"> </w:t>
      </w:r>
      <w:proofErr w:type="spellStart"/>
      <w:r>
        <w:t>exchange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units</w:t>
      </w:r>
      <w:proofErr w:type="spellEnd"/>
      <w:r>
        <w:t xml:space="preserve"> of </w:t>
      </w:r>
      <w:proofErr w:type="spellStart"/>
      <w:r>
        <w:t>our</w:t>
      </w:r>
      <w:proofErr w:type="spellEnd"/>
      <w:r>
        <w:t xml:space="preserve"> </w:t>
      </w:r>
      <w:proofErr w:type="spellStart"/>
      <w:r w:rsidR="00FD27D1">
        <w:t>U</w:t>
      </w:r>
      <w:r>
        <w:t>niversity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units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universities</w:t>
      </w:r>
      <w:proofErr w:type="spellEnd"/>
      <w:r>
        <w:t xml:space="preserve"> </w:t>
      </w:r>
      <w:proofErr w:type="spellStart"/>
      <w:r>
        <w:t>included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 w:rsidR="00853849">
        <w:t>programme</w:t>
      </w:r>
      <w:proofErr w:type="spellEnd"/>
      <w:r>
        <w:t>,</w:t>
      </w:r>
    </w:p>
    <w:p w14:paraId="289CB518" w14:textId="77777777" w:rsidR="00633B11" w:rsidRDefault="009B30DB">
      <w:pPr>
        <w:pStyle w:val="GvdeMetni"/>
        <w:spacing w:line="276" w:lineRule="auto"/>
        <w:ind w:right="120" w:firstLine="707"/>
      </w:pPr>
      <w:proofErr w:type="gramStart"/>
      <w:r>
        <w:t>ç</w:t>
      </w:r>
      <w:proofErr w:type="gramEnd"/>
      <w:r>
        <w:t xml:space="preserve">) </w:t>
      </w:r>
      <w:proofErr w:type="spellStart"/>
      <w:r>
        <w:t>Coordinatorship</w:t>
      </w:r>
      <w:proofErr w:type="spellEnd"/>
      <w:r>
        <w:t xml:space="preserve">: </w:t>
      </w:r>
      <w:proofErr w:type="spellStart"/>
      <w:r>
        <w:t>Istanbul</w:t>
      </w:r>
      <w:proofErr w:type="spellEnd"/>
      <w:r>
        <w:t xml:space="preserve"> </w:t>
      </w:r>
      <w:proofErr w:type="spellStart"/>
      <w:r>
        <w:t>Medipol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Erasmus</w:t>
      </w:r>
      <w:proofErr w:type="spellEnd"/>
      <w:r>
        <w:t xml:space="preserve"> </w:t>
      </w:r>
      <w:proofErr w:type="spellStart"/>
      <w:r>
        <w:t>Institution</w:t>
      </w:r>
      <w:proofErr w:type="spellEnd"/>
      <w:r>
        <w:t>/</w:t>
      </w:r>
      <w:proofErr w:type="spellStart"/>
      <w:r>
        <w:t>Unit</w:t>
      </w:r>
      <w:proofErr w:type="spellEnd"/>
      <w:r>
        <w:t xml:space="preserve"> </w:t>
      </w:r>
      <w:proofErr w:type="spellStart"/>
      <w:r>
        <w:t>Coordinatorships</w:t>
      </w:r>
      <w:proofErr w:type="spellEnd"/>
      <w:r>
        <w:t>,</w:t>
      </w:r>
    </w:p>
    <w:p w14:paraId="289CB519" w14:textId="3C9618C2" w:rsidR="00633B11" w:rsidRDefault="009B30DB">
      <w:pPr>
        <w:pStyle w:val="P68B1DB1-ListParagraph2"/>
        <w:numPr>
          <w:ilvl w:val="0"/>
          <w:numId w:val="6"/>
        </w:numPr>
        <w:tabs>
          <w:tab w:val="left" w:pos="1115"/>
        </w:tabs>
        <w:spacing w:before="2" w:line="276" w:lineRule="auto"/>
        <w:ind w:firstLine="708"/>
        <w:jc w:val="both"/>
      </w:pPr>
      <w:r>
        <w:t xml:space="preserve">Learning </w:t>
      </w:r>
      <w:proofErr w:type="spellStart"/>
      <w:r>
        <w:t>Agreement</w:t>
      </w:r>
      <w:proofErr w:type="spellEnd"/>
      <w:r>
        <w:t xml:space="preserve">: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</w:t>
      </w:r>
      <w:proofErr w:type="spellStart"/>
      <w:r>
        <w:t>signed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himself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Unit</w:t>
      </w:r>
      <w:proofErr w:type="spellEnd"/>
      <w:r>
        <w:t xml:space="preserve"> </w:t>
      </w:r>
      <w:proofErr w:type="spellStart"/>
      <w:r>
        <w:t>Erasmus</w:t>
      </w:r>
      <w:proofErr w:type="spellEnd"/>
      <w:r>
        <w:t xml:space="preserve"> </w:t>
      </w:r>
      <w:proofErr w:type="spellStart"/>
      <w:r>
        <w:t>Coordinator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Unit</w:t>
      </w:r>
      <w:proofErr w:type="spellEnd"/>
      <w:r>
        <w:t xml:space="preserve"> </w:t>
      </w:r>
      <w:proofErr w:type="spellStart"/>
      <w:r>
        <w:t>Erasmus</w:t>
      </w:r>
      <w:proofErr w:type="spellEnd"/>
      <w:r>
        <w:t xml:space="preserve"> </w:t>
      </w:r>
      <w:proofErr w:type="spellStart"/>
      <w:r>
        <w:t>Coordinator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he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attend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Erasmus</w:t>
      </w:r>
      <w:proofErr w:type="spellEnd"/>
      <w:r>
        <w:t xml:space="preserve"> </w:t>
      </w:r>
      <w:proofErr w:type="spellStart"/>
      <w:r>
        <w:t>Institution</w:t>
      </w:r>
      <w:proofErr w:type="spellEnd"/>
      <w:r>
        <w:t xml:space="preserve"> </w:t>
      </w:r>
      <w:proofErr w:type="spellStart"/>
      <w:r>
        <w:t>Coordinator</w:t>
      </w:r>
      <w:proofErr w:type="spellEnd"/>
      <w:r>
        <w:t xml:space="preserve"> of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Universities</w:t>
      </w:r>
      <w:proofErr w:type="spellEnd"/>
      <w:r>
        <w:t xml:space="preserve">, </w:t>
      </w:r>
      <w:proofErr w:type="spellStart"/>
      <w:r>
        <w:t>showing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 w:rsidR="00FD27D1">
        <w:t>U</w:t>
      </w:r>
      <w:r>
        <w:t>niversity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attend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exchange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courses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taken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credits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courses</w:t>
      </w:r>
      <w:proofErr w:type="spellEnd"/>
      <w:r>
        <w:t>,</w:t>
      </w:r>
    </w:p>
    <w:p w14:paraId="289CB51A" w14:textId="794BE75B" w:rsidR="00633B11" w:rsidRDefault="009B30DB">
      <w:pPr>
        <w:pStyle w:val="P68B1DB1-ListParagraph2"/>
        <w:numPr>
          <w:ilvl w:val="0"/>
          <w:numId w:val="6"/>
        </w:numPr>
        <w:tabs>
          <w:tab w:val="left" w:pos="1240"/>
        </w:tabs>
        <w:spacing w:line="276" w:lineRule="auto"/>
        <w:ind w:right="118" w:firstLine="708"/>
        <w:jc w:val="both"/>
      </w:pPr>
      <w:proofErr w:type="spellStart"/>
      <w:r>
        <w:t>Recognition</w:t>
      </w:r>
      <w:proofErr w:type="spellEnd"/>
      <w:r>
        <w:t xml:space="preserve"> </w:t>
      </w:r>
      <w:proofErr w:type="spellStart"/>
      <w:r>
        <w:t>Certificate</w:t>
      </w:r>
      <w:proofErr w:type="spellEnd"/>
      <w:r>
        <w:t xml:space="preserve">: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records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matching</w:t>
      </w:r>
      <w:proofErr w:type="spellEnd"/>
      <w:r>
        <w:t>/</w:t>
      </w:r>
      <w:proofErr w:type="spellStart"/>
      <w:r>
        <w:t>recognition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courses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taken</w:t>
      </w:r>
      <w:proofErr w:type="spellEnd"/>
      <w:r>
        <w:t>/</w:t>
      </w:r>
      <w:proofErr w:type="spellStart"/>
      <w:r>
        <w:t>works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done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guest</w:t>
      </w:r>
      <w:proofErr w:type="spellEnd"/>
      <w:r>
        <w:t xml:space="preserve"> </w:t>
      </w:r>
      <w:proofErr w:type="spellStart"/>
      <w:r>
        <w:t>institution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 w:rsidR="00FD27D1">
        <w:t>U</w:t>
      </w:r>
      <w:r>
        <w:t>niversity</w:t>
      </w:r>
      <w:proofErr w:type="spellEnd"/>
      <w:r>
        <w:t>,</w:t>
      </w:r>
    </w:p>
    <w:p w14:paraId="289CB51B" w14:textId="1943EF1B" w:rsidR="00633B11" w:rsidRDefault="009B30DB">
      <w:pPr>
        <w:pStyle w:val="P68B1DB1-ListParagraph2"/>
        <w:numPr>
          <w:ilvl w:val="0"/>
          <w:numId w:val="6"/>
        </w:numPr>
        <w:tabs>
          <w:tab w:val="left" w:pos="1043"/>
        </w:tabs>
        <w:ind w:left="1042" w:right="0" w:hanging="218"/>
      </w:pPr>
      <w:proofErr w:type="spellStart"/>
      <w:r>
        <w:t>Turkish</w:t>
      </w:r>
      <w:proofErr w:type="spellEnd"/>
      <w:r>
        <w:t xml:space="preserve">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Agency</w:t>
      </w:r>
      <w:proofErr w:type="spellEnd"/>
      <w:r>
        <w:t xml:space="preserve">: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Union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Youth</w:t>
      </w:r>
      <w:proofErr w:type="spellEnd"/>
      <w:r>
        <w:t xml:space="preserve"> </w:t>
      </w:r>
      <w:proofErr w:type="spellStart"/>
      <w:r w:rsidR="00853849">
        <w:t>Programme</w:t>
      </w:r>
      <w:r>
        <w:t>s</w:t>
      </w:r>
      <w:proofErr w:type="spellEnd"/>
      <w:r>
        <w:t xml:space="preserve"> Center,</w:t>
      </w:r>
    </w:p>
    <w:p w14:paraId="289CB51C" w14:textId="77777777" w:rsidR="00633B11" w:rsidRDefault="009B30DB">
      <w:pPr>
        <w:pStyle w:val="P68B1DB1-ListParagraph2"/>
        <w:numPr>
          <w:ilvl w:val="0"/>
          <w:numId w:val="6"/>
        </w:numPr>
        <w:tabs>
          <w:tab w:val="left" w:pos="1084"/>
        </w:tabs>
        <w:spacing w:before="40" w:line="278" w:lineRule="auto"/>
        <w:ind w:left="824" w:right="3600" w:firstLine="0"/>
      </w:pPr>
      <w:proofErr w:type="spellStart"/>
      <w:r>
        <w:t>Our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: </w:t>
      </w:r>
      <w:proofErr w:type="spellStart"/>
      <w:r>
        <w:t>Refers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Istanbul</w:t>
      </w:r>
      <w:proofErr w:type="spellEnd"/>
      <w:r>
        <w:t xml:space="preserve"> </w:t>
      </w:r>
      <w:proofErr w:type="spellStart"/>
      <w:r>
        <w:t>Medipol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>.</w:t>
      </w:r>
    </w:p>
    <w:p w14:paraId="289CB51D" w14:textId="77777777" w:rsidR="00633B11" w:rsidRDefault="00633B11">
      <w:pPr>
        <w:pStyle w:val="GvdeMetni"/>
        <w:spacing w:before="4"/>
        <w:ind w:left="0" w:firstLine="0"/>
        <w:jc w:val="left"/>
        <w:rPr>
          <w:sz w:val="27"/>
        </w:rPr>
      </w:pPr>
    </w:p>
    <w:p w14:paraId="289CB51E" w14:textId="77777777" w:rsidR="00633B11" w:rsidRDefault="009B30DB">
      <w:pPr>
        <w:pStyle w:val="Balk1"/>
        <w:ind w:left="2281" w:right="1578"/>
        <w:jc w:val="center"/>
      </w:pPr>
      <w:r>
        <w:t>SECOND SECTION</w:t>
      </w:r>
    </w:p>
    <w:p w14:paraId="289CB51F" w14:textId="77777777" w:rsidR="00633B11" w:rsidRDefault="00633B11">
      <w:pPr>
        <w:pStyle w:val="GvdeMetni"/>
        <w:ind w:left="0" w:firstLine="0"/>
        <w:jc w:val="left"/>
        <w:rPr>
          <w:b/>
          <w:sz w:val="31"/>
        </w:rPr>
      </w:pPr>
    </w:p>
    <w:p w14:paraId="289CB520" w14:textId="100DFD87" w:rsidR="00633B11" w:rsidRDefault="009B30DB">
      <w:pPr>
        <w:pStyle w:val="P68B1DB1-Normal1"/>
        <w:ind w:left="824"/>
      </w:pPr>
      <w:proofErr w:type="spellStart"/>
      <w:r>
        <w:t>The</w:t>
      </w:r>
      <w:proofErr w:type="spellEnd"/>
      <w:r>
        <w:t xml:space="preserve"> </w:t>
      </w:r>
      <w:proofErr w:type="spellStart"/>
      <w:r w:rsidR="00511AAF">
        <w:t>Fu</w:t>
      </w:r>
      <w:r>
        <w:t>nctioning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 w:rsidR="00511AAF">
        <w:t>Li</w:t>
      </w:r>
      <w:r>
        <w:t>felong</w:t>
      </w:r>
      <w:proofErr w:type="spellEnd"/>
      <w:r>
        <w:t xml:space="preserve"> </w:t>
      </w:r>
      <w:r w:rsidR="00511AAF">
        <w:t>L</w:t>
      </w:r>
      <w:r>
        <w:t xml:space="preserve">earning </w:t>
      </w:r>
      <w:proofErr w:type="spellStart"/>
      <w:r w:rsidR="00511AAF">
        <w:t>P</w:t>
      </w:r>
      <w:r w:rsidR="00853849">
        <w:t>rogramme</w:t>
      </w:r>
      <w:proofErr w:type="spellEnd"/>
      <w:r>
        <w:t xml:space="preserve"> </w:t>
      </w:r>
      <w:proofErr w:type="spellStart"/>
      <w:r>
        <w:t>Erasmus</w:t>
      </w:r>
      <w:proofErr w:type="spellEnd"/>
      <w:r>
        <w:t xml:space="preserve"> </w:t>
      </w:r>
      <w:proofErr w:type="spellStart"/>
      <w:r w:rsidR="00511AAF">
        <w:t>P</w:t>
      </w:r>
      <w:r w:rsidR="00853849">
        <w:t>rogramme</w:t>
      </w:r>
      <w:proofErr w:type="spellEnd"/>
    </w:p>
    <w:p w14:paraId="289CB521" w14:textId="59690D4B" w:rsidR="00633B11" w:rsidRDefault="009B30DB">
      <w:pPr>
        <w:pStyle w:val="GvdeMetni"/>
        <w:spacing w:before="42" w:line="276" w:lineRule="auto"/>
        <w:ind w:right="117" w:firstLine="707"/>
      </w:pPr>
      <w:r>
        <w:rPr>
          <w:b/>
        </w:rPr>
        <w:t xml:space="preserve">ARTICLE </w:t>
      </w:r>
      <w:proofErr w:type="gramStart"/>
      <w:r>
        <w:rPr>
          <w:b/>
        </w:rPr>
        <w:t>3 -</w:t>
      </w:r>
      <w:proofErr w:type="gramEnd"/>
      <w:r>
        <w:rPr>
          <w:b/>
        </w:rPr>
        <w:t xml:space="preserve"> </w:t>
      </w:r>
      <w:r>
        <w:t>(1) “</w:t>
      </w:r>
      <w:proofErr w:type="spellStart"/>
      <w:r>
        <w:t>Istanbul</w:t>
      </w:r>
      <w:proofErr w:type="spellEnd"/>
      <w:r>
        <w:t xml:space="preserve"> </w:t>
      </w:r>
      <w:proofErr w:type="spellStart"/>
      <w:r>
        <w:t>Medipol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Erasmus</w:t>
      </w:r>
      <w:proofErr w:type="spellEnd"/>
      <w:r>
        <w:t xml:space="preserve"> </w:t>
      </w:r>
      <w:proofErr w:type="spellStart"/>
      <w:r>
        <w:t>Institutional</w:t>
      </w:r>
      <w:proofErr w:type="spellEnd"/>
      <w:r>
        <w:t xml:space="preserve"> </w:t>
      </w:r>
      <w:proofErr w:type="spellStart"/>
      <w:r>
        <w:t>Coordinatorship</w:t>
      </w:r>
      <w:proofErr w:type="spellEnd"/>
      <w:r>
        <w:t xml:space="preserve">” is </w:t>
      </w:r>
      <w:proofErr w:type="spellStart"/>
      <w:r>
        <w:t>responsible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functioning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Erasmus</w:t>
      </w:r>
      <w:proofErr w:type="spellEnd"/>
      <w:r>
        <w:t xml:space="preserve">+ </w:t>
      </w:r>
      <w:proofErr w:type="spellStart"/>
      <w:r w:rsidR="00853849">
        <w:t>programme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lastRenderedPageBreak/>
        <w:t>University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institutional</w:t>
      </w:r>
      <w:proofErr w:type="spellEnd"/>
      <w:r>
        <w:t xml:space="preserve"> </w:t>
      </w:r>
      <w:proofErr w:type="spellStart"/>
      <w:r>
        <w:t>coordinator</w:t>
      </w:r>
      <w:proofErr w:type="spellEnd"/>
      <w:r>
        <w:t xml:space="preserve"> </w:t>
      </w:r>
      <w:proofErr w:type="spellStart"/>
      <w:r>
        <w:t>makes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 xml:space="preserve"> </w:t>
      </w:r>
      <w:proofErr w:type="spellStart"/>
      <w:r>
        <w:t>arrangements</w:t>
      </w:r>
      <w:proofErr w:type="spellEnd"/>
      <w:r>
        <w:t xml:space="preserve"> in </w:t>
      </w:r>
      <w:proofErr w:type="spellStart"/>
      <w:r>
        <w:t>coordination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unit</w:t>
      </w:r>
      <w:proofErr w:type="spellEnd"/>
      <w:r>
        <w:t xml:space="preserve"> </w:t>
      </w:r>
      <w:proofErr w:type="spellStart"/>
      <w:r>
        <w:t>coordinators</w:t>
      </w:r>
      <w:proofErr w:type="spellEnd"/>
      <w:r>
        <w:t>.</w:t>
      </w:r>
    </w:p>
    <w:p w14:paraId="289CB522" w14:textId="77777777" w:rsidR="00633B11" w:rsidRDefault="00633B11">
      <w:pPr>
        <w:spacing w:line="276" w:lineRule="auto"/>
        <w:sectPr w:rsidR="00633B11">
          <w:type w:val="continuous"/>
          <w:pgSz w:w="11910" w:h="16840"/>
          <w:pgMar w:top="1320" w:right="1300" w:bottom="280" w:left="1300" w:header="708" w:footer="708" w:gutter="0"/>
          <w:cols w:space="708"/>
        </w:sectPr>
      </w:pPr>
    </w:p>
    <w:p w14:paraId="289CB523" w14:textId="77777777" w:rsidR="00633B11" w:rsidRDefault="00633B11">
      <w:pPr>
        <w:pStyle w:val="GvdeMetni"/>
        <w:ind w:left="0" w:firstLine="0"/>
        <w:jc w:val="left"/>
        <w:rPr>
          <w:sz w:val="20"/>
        </w:rPr>
      </w:pPr>
    </w:p>
    <w:p w14:paraId="289CB524" w14:textId="6A75864F" w:rsidR="00633B11" w:rsidRDefault="009B30DB" w:rsidP="00511AAF">
      <w:pPr>
        <w:pStyle w:val="Balk1"/>
        <w:spacing w:before="223"/>
        <w:jc w:val="center"/>
      </w:pPr>
      <w:proofErr w:type="spellStart"/>
      <w:r>
        <w:t>Conditions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 w:rsidR="00511AAF">
        <w:t>S</w:t>
      </w:r>
      <w:r>
        <w:t>tudents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 w:rsidR="00511AAF">
        <w:t>B</w:t>
      </w:r>
      <w:r>
        <w:t>enefit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 w:rsidR="000002CD">
        <w:t>the</w:t>
      </w:r>
      <w:proofErr w:type="spellEnd"/>
      <w:r w:rsidR="000002CD">
        <w:t xml:space="preserve"> </w:t>
      </w:r>
      <w:r w:rsidR="00511AAF">
        <w:t>E</w:t>
      </w:r>
      <w:r>
        <w:t>xchange</w:t>
      </w:r>
    </w:p>
    <w:p w14:paraId="289CB525" w14:textId="7C7C8B8C" w:rsidR="00633B11" w:rsidRDefault="009B30DB">
      <w:pPr>
        <w:pStyle w:val="GvdeMetni"/>
        <w:spacing w:before="40" w:line="276" w:lineRule="auto"/>
        <w:ind w:right="114" w:firstLine="707"/>
      </w:pPr>
      <w:r>
        <w:rPr>
          <w:b/>
        </w:rPr>
        <w:t xml:space="preserve">ARTICLE </w:t>
      </w:r>
      <w:proofErr w:type="gramStart"/>
      <w:r>
        <w:rPr>
          <w:b/>
        </w:rPr>
        <w:t>4 -</w:t>
      </w:r>
      <w:proofErr w:type="gramEnd"/>
      <w:r>
        <w:rPr>
          <w:b/>
        </w:rPr>
        <w:t xml:space="preserve"> </w:t>
      </w:r>
      <w:r>
        <w:t xml:space="preserve">(1)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apply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 w:rsidR="00853849">
        <w:t>programme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be a </w:t>
      </w:r>
      <w:proofErr w:type="spellStart"/>
      <w:r>
        <w:t>Turkish</w:t>
      </w:r>
      <w:proofErr w:type="spellEnd"/>
      <w:r>
        <w:t xml:space="preserve"> </w:t>
      </w:r>
      <w:proofErr w:type="spellStart"/>
      <w:r>
        <w:t>citizen</w:t>
      </w:r>
      <w:proofErr w:type="spellEnd"/>
      <w:r>
        <w:t xml:space="preserve"> </w:t>
      </w:r>
      <w:proofErr w:type="spellStart"/>
      <w:r>
        <w:t>and</w:t>
      </w:r>
      <w:proofErr w:type="spellEnd"/>
      <w:r>
        <w:t>/</w:t>
      </w:r>
      <w:proofErr w:type="spellStart"/>
      <w:r>
        <w:t>or</w:t>
      </w:r>
      <w:proofErr w:type="spellEnd"/>
      <w:r>
        <w:t xml:space="preserve"> a </w:t>
      </w:r>
      <w:proofErr w:type="spellStart"/>
      <w:r>
        <w:t>citizen</w:t>
      </w:r>
      <w:proofErr w:type="spellEnd"/>
      <w:r>
        <w:t xml:space="preserve"> of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countries</w:t>
      </w:r>
      <w:proofErr w:type="spellEnd"/>
      <w:r>
        <w:t xml:space="preserve">, but </w:t>
      </w:r>
      <w:proofErr w:type="spellStart"/>
      <w:r>
        <w:t>must</w:t>
      </w:r>
      <w:proofErr w:type="spellEnd"/>
      <w:r>
        <w:t xml:space="preserve"> be a </w:t>
      </w:r>
      <w:proofErr w:type="spellStart"/>
      <w:r>
        <w:t>full</w:t>
      </w:r>
      <w:proofErr w:type="spellEnd"/>
      <w:r>
        <w:t xml:space="preserve">-time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registered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formal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levels</w:t>
      </w:r>
      <w:proofErr w:type="spellEnd"/>
      <w:r>
        <w:t xml:space="preserve"> of </w:t>
      </w:r>
      <w:proofErr w:type="spellStart"/>
      <w:r>
        <w:t>our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>.</w:t>
      </w:r>
    </w:p>
    <w:p w14:paraId="289CB526" w14:textId="678D315D" w:rsidR="00633B11" w:rsidRDefault="009B30DB">
      <w:pPr>
        <w:pStyle w:val="P68B1DB1-ListParagraph2"/>
        <w:numPr>
          <w:ilvl w:val="0"/>
          <w:numId w:val="5"/>
        </w:numPr>
        <w:tabs>
          <w:tab w:val="left" w:pos="1168"/>
        </w:tabs>
        <w:spacing w:line="276" w:lineRule="auto"/>
        <w:ind w:right="112" w:firstLine="708"/>
        <w:jc w:val="both"/>
      </w:pPr>
      <w:r>
        <w:t xml:space="preserve">As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end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semester</w:t>
      </w:r>
      <w:proofErr w:type="spellEnd"/>
      <w:r>
        <w:t>/</w:t>
      </w:r>
      <w:proofErr w:type="spellStart"/>
      <w:r>
        <w:t>year</w:t>
      </w:r>
      <w:proofErr w:type="spellEnd"/>
      <w:r>
        <w:t xml:space="preserve"> </w:t>
      </w:r>
      <w:proofErr w:type="spellStart"/>
      <w:r w:rsidR="00FD27D1">
        <w:t>before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 w:rsidR="00FD27D1">
        <w:t>student</w:t>
      </w:r>
      <w:r w:rsidR="00DB4ACC">
        <w:t>’</w:t>
      </w:r>
      <w:r w:rsidR="00FD27D1">
        <w:t>s</w:t>
      </w:r>
      <w:proofErr w:type="spellEnd"/>
      <w:r w:rsidR="00FD27D1">
        <w:t xml:space="preserve"> </w:t>
      </w:r>
      <w:proofErr w:type="spellStart"/>
      <w:r w:rsidR="00FD27D1">
        <w:t>application</w:t>
      </w:r>
      <w:proofErr w:type="spellEnd"/>
      <w:r w:rsidR="00FD27D1">
        <w:t xml:space="preserve"> </w:t>
      </w:r>
      <w:proofErr w:type="spellStart"/>
      <w:r w:rsidR="00FD27D1">
        <w:t>date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GPA of at </w:t>
      </w:r>
      <w:proofErr w:type="spellStart"/>
      <w:r>
        <w:t>least</w:t>
      </w:r>
      <w:proofErr w:type="spellEnd"/>
      <w:r>
        <w:t xml:space="preserve"> 2.20/4.00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associate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undergraduate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; </w:t>
      </w:r>
      <w:proofErr w:type="spellStart"/>
      <w:r>
        <w:t>For</w:t>
      </w:r>
      <w:proofErr w:type="spellEnd"/>
      <w:r>
        <w:t xml:space="preserve"> </w:t>
      </w:r>
      <w:proofErr w:type="spellStart"/>
      <w:r>
        <w:t>graduate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, a minimum </w:t>
      </w:r>
      <w:proofErr w:type="spellStart"/>
      <w:r>
        <w:t>score</w:t>
      </w:r>
      <w:proofErr w:type="spellEnd"/>
      <w:r>
        <w:t xml:space="preserve"> of 2.50/4.00 is </w:t>
      </w:r>
      <w:proofErr w:type="spellStart"/>
      <w:r>
        <w:t>required</w:t>
      </w:r>
      <w:proofErr w:type="spellEnd"/>
      <w:r>
        <w:t>.</w:t>
      </w:r>
    </w:p>
    <w:p w14:paraId="289CB527" w14:textId="57BC53E5" w:rsidR="00633B11" w:rsidRDefault="009B30DB">
      <w:pPr>
        <w:pStyle w:val="P68B1DB1-ListParagraph2"/>
        <w:numPr>
          <w:ilvl w:val="0"/>
          <w:numId w:val="5"/>
        </w:numPr>
        <w:tabs>
          <w:tab w:val="left" w:pos="1206"/>
        </w:tabs>
        <w:spacing w:before="3" w:line="276" w:lineRule="auto"/>
        <w:ind w:right="119" w:firstLine="708"/>
        <w:jc w:val="both"/>
      </w:pPr>
      <w:proofErr w:type="spellStart"/>
      <w:r>
        <w:t>Students</w:t>
      </w:r>
      <w:proofErr w:type="spellEnd"/>
      <w:r>
        <w:t xml:space="preserve"> </w:t>
      </w:r>
      <w:proofErr w:type="spellStart"/>
      <w:r>
        <w:t>studying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compulsory</w:t>
      </w:r>
      <w:proofErr w:type="spellEnd"/>
      <w:r>
        <w:t xml:space="preserve"> </w:t>
      </w:r>
      <w:proofErr w:type="spellStart"/>
      <w:r>
        <w:t>foreign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 xml:space="preserve"> </w:t>
      </w:r>
      <w:proofErr w:type="spellStart"/>
      <w:r>
        <w:t>preparatory</w:t>
      </w:r>
      <w:proofErr w:type="spellEnd"/>
      <w:r>
        <w:t xml:space="preserve"> </w:t>
      </w:r>
      <w:proofErr w:type="spellStart"/>
      <w:r>
        <w:t>class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year</w:t>
      </w:r>
      <w:proofErr w:type="spellEnd"/>
      <w:r>
        <w:t xml:space="preserve"> of </w:t>
      </w:r>
      <w:proofErr w:type="spellStart"/>
      <w:r>
        <w:t>associate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undergraduate</w:t>
      </w:r>
      <w:proofErr w:type="spellEnd"/>
      <w:r>
        <w:t xml:space="preserve"> </w:t>
      </w:r>
      <w:proofErr w:type="spellStart"/>
      <w:r w:rsidR="00853849">
        <w:t>programme</w:t>
      </w:r>
      <w:r>
        <w:t>s</w:t>
      </w:r>
      <w:proofErr w:type="spellEnd"/>
      <w:r>
        <w:t xml:space="preserve"> </w:t>
      </w:r>
      <w:proofErr w:type="spellStart"/>
      <w:r>
        <w:t>cannot</w:t>
      </w:r>
      <w:proofErr w:type="spellEnd"/>
      <w:r>
        <w:t xml:space="preserve"> </w:t>
      </w:r>
      <w:proofErr w:type="spellStart"/>
      <w:r>
        <w:t>benefit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Erasmus</w:t>
      </w:r>
      <w:proofErr w:type="spellEnd"/>
      <w:r>
        <w:t xml:space="preserve"> </w:t>
      </w:r>
      <w:proofErr w:type="spellStart"/>
      <w:r w:rsidR="00853849">
        <w:t>programme</w:t>
      </w:r>
      <w:proofErr w:type="spellEnd"/>
      <w:r>
        <w:t>.</w:t>
      </w:r>
    </w:p>
    <w:p w14:paraId="289CB528" w14:textId="10A35DC2" w:rsidR="00633B11" w:rsidRDefault="009B30DB">
      <w:pPr>
        <w:pStyle w:val="P68B1DB1-ListParagraph2"/>
        <w:numPr>
          <w:ilvl w:val="0"/>
          <w:numId w:val="5"/>
        </w:numPr>
        <w:tabs>
          <w:tab w:val="left" w:pos="1238"/>
        </w:tabs>
        <w:spacing w:before="1" w:line="276" w:lineRule="auto"/>
        <w:ind w:firstLine="708"/>
        <w:jc w:val="both"/>
      </w:pPr>
      <w:proofErr w:type="spellStart"/>
      <w:r>
        <w:t>Students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required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apply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Coordinators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specified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announced</w:t>
      </w:r>
      <w:proofErr w:type="spellEnd"/>
      <w:r>
        <w:t xml:space="preserve"> </w:t>
      </w:r>
      <w:proofErr w:type="spellStart"/>
      <w:r>
        <w:t>dates</w:t>
      </w:r>
      <w:proofErr w:type="spellEnd"/>
      <w:r>
        <w:t>.</w:t>
      </w:r>
    </w:p>
    <w:p w14:paraId="289CB529" w14:textId="77777777" w:rsidR="00633B11" w:rsidRDefault="00633B11">
      <w:pPr>
        <w:pStyle w:val="GvdeMetni"/>
        <w:spacing w:before="9"/>
        <w:ind w:left="0" w:firstLine="0"/>
        <w:jc w:val="left"/>
        <w:rPr>
          <w:sz w:val="27"/>
        </w:rPr>
      </w:pPr>
    </w:p>
    <w:p w14:paraId="289CB52A" w14:textId="77777777" w:rsidR="00633B11" w:rsidRDefault="009B30DB" w:rsidP="00511AAF">
      <w:pPr>
        <w:pStyle w:val="Balk1"/>
        <w:jc w:val="center"/>
      </w:pPr>
      <w:r>
        <w:t xml:space="preserve">Applications, </w:t>
      </w:r>
      <w:proofErr w:type="spellStart"/>
      <w:r>
        <w:t>Exams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Evaluation</w:t>
      </w:r>
    </w:p>
    <w:p w14:paraId="289CB52B" w14:textId="77777777" w:rsidR="00633B11" w:rsidRDefault="009B30DB">
      <w:pPr>
        <w:pStyle w:val="GvdeMetni"/>
        <w:spacing w:before="40" w:line="276" w:lineRule="auto"/>
        <w:ind w:right="117" w:firstLine="707"/>
      </w:pPr>
      <w:r>
        <w:rPr>
          <w:b/>
        </w:rPr>
        <w:t xml:space="preserve">ARTICLE </w:t>
      </w:r>
      <w:proofErr w:type="gramStart"/>
      <w:r>
        <w:rPr>
          <w:b/>
        </w:rPr>
        <w:t xml:space="preserve">5 </w:t>
      </w:r>
      <w:r>
        <w:t>-</w:t>
      </w:r>
      <w:proofErr w:type="gramEnd"/>
      <w:r>
        <w:t xml:space="preserve"> (1)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calendar</w:t>
      </w:r>
      <w:proofErr w:type="spellEnd"/>
      <w:r>
        <w:t xml:space="preserve"> of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exam</w:t>
      </w:r>
      <w:proofErr w:type="spellEnd"/>
      <w:r>
        <w:t xml:space="preserve"> </w:t>
      </w:r>
      <w:proofErr w:type="spellStart"/>
      <w:r>
        <w:t>dates</w:t>
      </w:r>
      <w:proofErr w:type="spellEnd"/>
      <w:r>
        <w:t xml:space="preserve"> is </w:t>
      </w:r>
      <w:proofErr w:type="spellStart"/>
      <w:r>
        <w:t>determined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announced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Erasmus</w:t>
      </w:r>
      <w:proofErr w:type="spellEnd"/>
      <w:r>
        <w:t xml:space="preserve"> </w:t>
      </w:r>
      <w:proofErr w:type="spellStart"/>
      <w:r>
        <w:t>Institutional</w:t>
      </w:r>
      <w:proofErr w:type="spellEnd"/>
      <w:r>
        <w:t xml:space="preserve"> </w:t>
      </w:r>
      <w:proofErr w:type="spellStart"/>
      <w:r>
        <w:t>Coordinatorship</w:t>
      </w:r>
      <w:proofErr w:type="spellEnd"/>
      <w:r>
        <w:t xml:space="preserve"> of </w:t>
      </w:r>
      <w:proofErr w:type="spellStart"/>
      <w:r>
        <w:t>Istanbul</w:t>
      </w:r>
      <w:proofErr w:type="spellEnd"/>
      <w:r>
        <w:t xml:space="preserve"> </w:t>
      </w:r>
      <w:proofErr w:type="spellStart"/>
      <w:r>
        <w:t>Medipol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>.</w:t>
      </w:r>
    </w:p>
    <w:p w14:paraId="289CB52C" w14:textId="0CFF8D47" w:rsidR="00633B11" w:rsidRDefault="009B30DB">
      <w:pPr>
        <w:pStyle w:val="P68B1DB1-ListParagraph2"/>
        <w:numPr>
          <w:ilvl w:val="0"/>
          <w:numId w:val="4"/>
        </w:numPr>
        <w:tabs>
          <w:tab w:val="left" w:pos="1235"/>
        </w:tabs>
        <w:spacing w:before="1" w:line="278" w:lineRule="auto"/>
        <w:ind w:right="115" w:firstLine="708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signed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form </w:t>
      </w:r>
      <w:proofErr w:type="spellStart"/>
      <w:r>
        <w:t>must</w:t>
      </w:r>
      <w:proofErr w:type="spellEnd"/>
      <w:r>
        <w:t xml:space="preserve"> be </w:t>
      </w:r>
      <w:proofErr w:type="spellStart"/>
      <w:r>
        <w:t>submitted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Coordinator</w:t>
      </w:r>
      <w:r w:rsidR="00DB4ACC">
        <w:t>’</w:t>
      </w:r>
      <w:r>
        <w:t>s</w:t>
      </w:r>
      <w:proofErr w:type="spellEnd"/>
      <w:r>
        <w:t xml:space="preserve"> Office </w:t>
      </w:r>
      <w:proofErr w:type="spellStart"/>
      <w:r>
        <w:t>together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approved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transcript</w:t>
      </w:r>
      <w:proofErr w:type="spellEnd"/>
      <w:r>
        <w:t>.</w:t>
      </w:r>
    </w:p>
    <w:p w14:paraId="289CB52D" w14:textId="45BC1CA1" w:rsidR="00633B11" w:rsidRDefault="009B30DB">
      <w:pPr>
        <w:pStyle w:val="P68B1DB1-ListParagraph2"/>
        <w:numPr>
          <w:ilvl w:val="0"/>
          <w:numId w:val="4"/>
        </w:numPr>
        <w:tabs>
          <w:tab w:val="left" w:pos="1165"/>
        </w:tabs>
        <w:spacing w:line="276" w:lineRule="auto"/>
        <w:ind w:right="113" w:firstLine="708"/>
        <w:jc w:val="both"/>
      </w:pPr>
      <w:proofErr w:type="spellStart"/>
      <w:r>
        <w:t>Students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meet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requirements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taken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Foreign</w:t>
      </w:r>
      <w:proofErr w:type="spellEnd"/>
      <w:r>
        <w:t xml:space="preserve"> Language </w:t>
      </w:r>
      <w:proofErr w:type="spellStart"/>
      <w:r>
        <w:t>exam</w:t>
      </w:r>
      <w:proofErr w:type="spellEnd"/>
      <w:r>
        <w:t xml:space="preserve">.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get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required</w:t>
      </w:r>
      <w:proofErr w:type="spellEnd"/>
      <w:r>
        <w:t xml:space="preserve"> </w:t>
      </w:r>
      <w:proofErr w:type="spellStart"/>
      <w:r>
        <w:t>grade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Foreign</w:t>
      </w:r>
      <w:proofErr w:type="spellEnd"/>
      <w:r>
        <w:t xml:space="preserve"> Language </w:t>
      </w:r>
      <w:proofErr w:type="spellStart"/>
      <w:r>
        <w:t>Exam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determined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Erasmus</w:t>
      </w:r>
      <w:proofErr w:type="spellEnd"/>
      <w:r>
        <w:t xml:space="preserve"> </w:t>
      </w:r>
      <w:proofErr w:type="spellStart"/>
      <w:r>
        <w:t>Institutional</w:t>
      </w:r>
      <w:proofErr w:type="spellEnd"/>
      <w:r>
        <w:t xml:space="preserve"> </w:t>
      </w:r>
      <w:proofErr w:type="spellStart"/>
      <w:r>
        <w:t>Coordinatorship</w:t>
      </w:r>
      <w:proofErr w:type="spellEnd"/>
      <w:r>
        <w:t xml:space="preserve"> of </w:t>
      </w:r>
      <w:proofErr w:type="spellStart"/>
      <w:r>
        <w:t>our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relevant</w:t>
      </w:r>
      <w:proofErr w:type="spellEnd"/>
      <w:r>
        <w:t xml:space="preserve"> </w:t>
      </w:r>
      <w:proofErr w:type="spellStart"/>
      <w:r>
        <w:t>year</w:t>
      </w:r>
      <w:proofErr w:type="spellEnd"/>
      <w:r>
        <w:t xml:space="preserve">, </w:t>
      </w:r>
      <w:proofErr w:type="spellStart"/>
      <w:r>
        <w:t>are</w:t>
      </w:r>
      <w:proofErr w:type="spellEnd"/>
      <w:r>
        <w:t xml:space="preserve"> </w:t>
      </w:r>
      <w:proofErr w:type="spellStart"/>
      <w:r>
        <w:t>evaluated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meet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grade</w:t>
      </w:r>
      <w:proofErr w:type="spellEnd"/>
      <w:r>
        <w:t xml:space="preserve"> </w:t>
      </w:r>
      <w:proofErr w:type="spellStart"/>
      <w:r>
        <w:t>point</w:t>
      </w:r>
      <w:proofErr w:type="spellEnd"/>
      <w:r>
        <w:t xml:space="preserve"> </w:t>
      </w:r>
      <w:proofErr w:type="spellStart"/>
      <w:r>
        <w:t>average</w:t>
      </w:r>
      <w:proofErr w:type="spellEnd"/>
      <w:r>
        <w:t xml:space="preserve"> </w:t>
      </w:r>
      <w:proofErr w:type="spellStart"/>
      <w:r>
        <w:t>and</w:t>
      </w:r>
      <w:proofErr w:type="spellEnd"/>
      <w:r w:rsidR="000002CD">
        <w:t>,</w:t>
      </w:r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special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exchange</w:t>
      </w:r>
      <w:proofErr w:type="spellEnd"/>
      <w:r>
        <w:t xml:space="preserve"> (</w:t>
      </w:r>
      <w:proofErr w:type="spellStart"/>
      <w:r w:rsidR="00FD27D1">
        <w:t>the</w:t>
      </w:r>
      <w:proofErr w:type="spellEnd"/>
      <w:r w:rsidR="00FD27D1">
        <w:t xml:space="preserve"> </w:t>
      </w:r>
      <w:proofErr w:type="spellStart"/>
      <w:r>
        <w:t>language</w:t>
      </w:r>
      <w:proofErr w:type="spellEnd"/>
      <w:r>
        <w:t xml:space="preserve"> of </w:t>
      </w:r>
      <w:proofErr w:type="spellStart"/>
      <w:r>
        <w:t>education</w:t>
      </w:r>
      <w:proofErr w:type="spellEnd"/>
      <w:r>
        <w:t xml:space="preserve">, </w:t>
      </w:r>
      <w:proofErr w:type="spellStart"/>
      <w:r>
        <w:t>language</w:t>
      </w:r>
      <w:proofErr w:type="spellEnd"/>
      <w:r>
        <w:t xml:space="preserve"> </w:t>
      </w:r>
      <w:proofErr w:type="spellStart"/>
      <w:r>
        <w:t>level</w:t>
      </w:r>
      <w:proofErr w:type="spellEnd"/>
      <w:r>
        <w:t xml:space="preserve">, </w:t>
      </w:r>
      <w:proofErr w:type="spellStart"/>
      <w:r>
        <w:t>etc</w:t>
      </w:r>
      <w:proofErr w:type="spellEnd"/>
      <w:r>
        <w:t>.).</w:t>
      </w:r>
    </w:p>
    <w:p w14:paraId="289CB52E" w14:textId="77777777" w:rsidR="00633B11" w:rsidRDefault="009B30DB">
      <w:pPr>
        <w:pStyle w:val="P68B1DB1-ListParagraph2"/>
        <w:numPr>
          <w:ilvl w:val="0"/>
          <w:numId w:val="4"/>
        </w:numPr>
        <w:tabs>
          <w:tab w:val="left" w:pos="1209"/>
        </w:tabs>
        <w:spacing w:before="2" w:line="276" w:lineRule="auto"/>
        <w:ind w:right="124" w:firstLine="708"/>
        <w:jc w:val="both"/>
      </w:pPr>
      <w:proofErr w:type="spellStart"/>
      <w:r>
        <w:t>National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exams</w:t>
      </w:r>
      <w:proofErr w:type="spellEnd"/>
      <w:r>
        <w:t xml:space="preserve"> </w:t>
      </w:r>
      <w:proofErr w:type="spellStart"/>
      <w:r>
        <w:t>accepted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Council</w:t>
      </w:r>
      <w:proofErr w:type="spellEnd"/>
      <w:r>
        <w:t xml:space="preserve"> of </w:t>
      </w:r>
      <w:proofErr w:type="spellStart"/>
      <w:r>
        <w:t>Higher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can be </w:t>
      </w:r>
      <w:proofErr w:type="spellStart"/>
      <w:r>
        <w:t>evaluated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framework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criteria</w:t>
      </w:r>
      <w:proofErr w:type="spellEnd"/>
      <w:r>
        <w:t xml:space="preserve"> </w:t>
      </w:r>
      <w:proofErr w:type="spellStart"/>
      <w:r>
        <w:t>specified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announcement</w:t>
      </w:r>
      <w:proofErr w:type="spellEnd"/>
      <w:r>
        <w:t>.</w:t>
      </w:r>
    </w:p>
    <w:p w14:paraId="289CB52F" w14:textId="77777777" w:rsidR="00633B11" w:rsidRDefault="009B30DB">
      <w:pPr>
        <w:pStyle w:val="P68B1DB1-ListParagraph2"/>
        <w:numPr>
          <w:ilvl w:val="0"/>
          <w:numId w:val="4"/>
        </w:numPr>
        <w:tabs>
          <w:tab w:val="left" w:pos="1281"/>
        </w:tabs>
        <w:spacing w:before="2" w:line="276" w:lineRule="auto"/>
        <w:ind w:right="116" w:firstLine="708"/>
        <w:jc w:val="both"/>
      </w:pP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evaluation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applications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Institution</w:t>
      </w:r>
      <w:proofErr w:type="spellEnd"/>
      <w:r>
        <w:t xml:space="preserve"> </w:t>
      </w:r>
      <w:proofErr w:type="spellStart"/>
      <w:r>
        <w:t>Coordinator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selection</w:t>
      </w:r>
      <w:proofErr w:type="spellEnd"/>
      <w:r>
        <w:t xml:space="preserve"> </w:t>
      </w:r>
      <w:proofErr w:type="spellStart"/>
      <w:r>
        <w:t>criteria</w:t>
      </w:r>
      <w:proofErr w:type="spellEnd"/>
      <w:r>
        <w:t xml:space="preserve"> </w:t>
      </w:r>
      <w:proofErr w:type="spellStart"/>
      <w:r>
        <w:t>determined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Agency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year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taken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consideration</w:t>
      </w:r>
      <w:proofErr w:type="spellEnd"/>
      <w:r>
        <w:t xml:space="preserve">. As a </w:t>
      </w:r>
      <w:proofErr w:type="spellStart"/>
      <w:r>
        <w:t>result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evaluation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Erasmus</w:t>
      </w:r>
      <w:proofErr w:type="spellEnd"/>
      <w:r>
        <w:t xml:space="preserve"> final </w:t>
      </w:r>
      <w:proofErr w:type="spellStart"/>
      <w:r>
        <w:t>scores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determined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ranked</w:t>
      </w:r>
      <w:proofErr w:type="spellEnd"/>
      <w:r>
        <w:t>.</w:t>
      </w:r>
    </w:p>
    <w:p w14:paraId="289CB530" w14:textId="5588A523" w:rsidR="00633B11" w:rsidRDefault="009B30DB">
      <w:pPr>
        <w:pStyle w:val="P68B1DB1-ListParagraph2"/>
        <w:numPr>
          <w:ilvl w:val="0"/>
          <w:numId w:val="4"/>
        </w:numPr>
        <w:tabs>
          <w:tab w:val="left" w:pos="1245"/>
        </w:tabs>
        <w:spacing w:line="276" w:lineRule="auto"/>
        <w:ind w:right="115" w:firstLine="708"/>
        <w:jc w:val="both"/>
      </w:pPr>
      <w:proofErr w:type="spellStart"/>
      <w:r>
        <w:t>Taking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account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 w:rsidR="00853849">
        <w:t>programme</w:t>
      </w:r>
      <w:proofErr w:type="spellEnd"/>
      <w:r>
        <w:t xml:space="preserve"> </w:t>
      </w:r>
      <w:proofErr w:type="spellStart"/>
      <w:r>
        <w:t>quotas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lists</w:t>
      </w:r>
      <w:proofErr w:type="spellEnd"/>
      <w:r>
        <w:t xml:space="preserve"> of main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substitute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announced</w:t>
      </w:r>
      <w:proofErr w:type="spellEnd"/>
      <w:r>
        <w:t xml:space="preserve"> on </w:t>
      </w:r>
      <w:proofErr w:type="spellStart"/>
      <w:r w:rsidR="00FD27D1">
        <w:t>our</w:t>
      </w:r>
      <w:proofErr w:type="spellEnd"/>
      <w:r w:rsidR="00FD27D1">
        <w:t xml:space="preserve"> </w:t>
      </w:r>
      <w:proofErr w:type="spellStart"/>
      <w:r w:rsidR="00FD27D1">
        <w:t>University</w:t>
      </w:r>
      <w:r w:rsidR="00DB4ACC">
        <w:t>’</w:t>
      </w:r>
      <w:r w:rsidR="00FD27D1">
        <w:t>s</w:t>
      </w:r>
      <w:proofErr w:type="spellEnd"/>
      <w:r w:rsidR="00FD27D1">
        <w:t xml:space="preserve"> </w:t>
      </w:r>
      <w:proofErr w:type="spellStart"/>
      <w:r w:rsidR="00FD27D1">
        <w:t>website</w:t>
      </w:r>
      <w:proofErr w:type="spellEnd"/>
      <w:r>
        <w:t xml:space="preserve">, </w:t>
      </w: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scores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units</w:t>
      </w:r>
      <w:proofErr w:type="spellEnd"/>
      <w:r>
        <w:t xml:space="preserve"> of </w:t>
      </w:r>
      <w:proofErr w:type="spellStart"/>
      <w:r>
        <w:t>all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apply</w:t>
      </w:r>
      <w:proofErr w:type="spellEnd"/>
      <w:r>
        <w:t>.</w:t>
      </w:r>
    </w:p>
    <w:p w14:paraId="289CB531" w14:textId="7CE21514" w:rsidR="00633B11" w:rsidRDefault="009B30DB">
      <w:pPr>
        <w:pStyle w:val="P68B1DB1-ListParagraph2"/>
        <w:numPr>
          <w:ilvl w:val="0"/>
          <w:numId w:val="4"/>
        </w:numPr>
        <w:tabs>
          <w:tab w:val="left" w:pos="1180"/>
        </w:tabs>
        <w:spacing w:line="276" w:lineRule="auto"/>
        <w:ind w:right="121" w:firstLine="708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permanent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alternate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determined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Board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exchange</w:t>
      </w:r>
      <w:proofErr w:type="spellEnd"/>
      <w:r>
        <w:t xml:space="preserve"> </w:t>
      </w:r>
      <w:proofErr w:type="spellStart"/>
      <w:r w:rsidR="000002CD">
        <w:t>must</w:t>
      </w:r>
      <w:proofErr w:type="spellEnd"/>
      <w:r>
        <w:t xml:space="preserve"> </w:t>
      </w:r>
      <w:proofErr w:type="spellStart"/>
      <w:r>
        <w:t>attend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r w:rsidR="00DB4ACC">
        <w:t>“</w:t>
      </w:r>
      <w:proofErr w:type="spellStart"/>
      <w:r>
        <w:t>Orientation</w:t>
      </w:r>
      <w:proofErr w:type="spellEnd"/>
      <w:r>
        <w:t xml:space="preserve"> </w:t>
      </w:r>
      <w:proofErr w:type="spellStart"/>
      <w:r>
        <w:t>Trainings</w:t>
      </w:r>
      <w:proofErr w:type="spellEnd"/>
      <w:r w:rsidR="00DB4ACC">
        <w:t>”</w:t>
      </w:r>
      <w:r>
        <w:t xml:space="preserve"> </w:t>
      </w:r>
      <w:proofErr w:type="spellStart"/>
      <w:r>
        <w:t>organized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Erasmus</w:t>
      </w:r>
      <w:proofErr w:type="spellEnd"/>
      <w:r>
        <w:t xml:space="preserve"> </w:t>
      </w:r>
      <w:proofErr w:type="spellStart"/>
      <w:r>
        <w:t>Institutional</w:t>
      </w:r>
      <w:proofErr w:type="spellEnd"/>
      <w:r>
        <w:t xml:space="preserve"> </w:t>
      </w:r>
      <w:proofErr w:type="spellStart"/>
      <w:r>
        <w:t>Coordinator</w:t>
      </w:r>
      <w:proofErr w:type="spellEnd"/>
      <w:r>
        <w:t>.</w:t>
      </w:r>
    </w:p>
    <w:p w14:paraId="289CB532" w14:textId="77777777" w:rsidR="00633B11" w:rsidRDefault="00633B11">
      <w:pPr>
        <w:pStyle w:val="GvdeMetni"/>
        <w:spacing w:before="6"/>
        <w:ind w:left="0" w:firstLine="0"/>
        <w:jc w:val="left"/>
        <w:rPr>
          <w:sz w:val="27"/>
        </w:rPr>
      </w:pPr>
    </w:p>
    <w:p w14:paraId="289CB533" w14:textId="1643F87C" w:rsidR="00633B11" w:rsidRDefault="009B30DB" w:rsidP="00511AAF">
      <w:pPr>
        <w:pStyle w:val="Balk1"/>
        <w:jc w:val="center"/>
      </w:pPr>
      <w:proofErr w:type="spellStart"/>
      <w:r>
        <w:t>Procedures</w:t>
      </w:r>
      <w:proofErr w:type="spellEnd"/>
      <w:r>
        <w:t xml:space="preserve"> of </w:t>
      </w:r>
      <w:proofErr w:type="spellStart"/>
      <w:r w:rsidR="00511AAF">
        <w:t>S</w:t>
      </w:r>
      <w:r>
        <w:t>tudents</w:t>
      </w:r>
      <w:proofErr w:type="spellEnd"/>
      <w:r>
        <w:t xml:space="preserve"> </w:t>
      </w:r>
      <w:proofErr w:type="spellStart"/>
      <w:r w:rsidR="00511AAF">
        <w:t>S</w:t>
      </w:r>
      <w:r>
        <w:t>elected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 w:rsidR="00511AAF">
        <w:t>P</w:t>
      </w:r>
      <w:r w:rsidR="00853849">
        <w:t>rogramme</w:t>
      </w:r>
      <w:proofErr w:type="spellEnd"/>
    </w:p>
    <w:p w14:paraId="289CB534" w14:textId="33DE023E" w:rsidR="00633B11" w:rsidRDefault="009B30DB">
      <w:pPr>
        <w:pStyle w:val="GvdeMetni"/>
        <w:spacing w:before="40" w:line="276" w:lineRule="auto"/>
        <w:ind w:right="118" w:firstLine="707"/>
      </w:pPr>
      <w:r>
        <w:rPr>
          <w:b/>
        </w:rPr>
        <w:t xml:space="preserve">ARTICLE </w:t>
      </w:r>
      <w:proofErr w:type="gramStart"/>
      <w:r>
        <w:rPr>
          <w:b/>
        </w:rPr>
        <w:t xml:space="preserve">6 </w:t>
      </w:r>
      <w:r>
        <w:t>-</w:t>
      </w:r>
      <w:proofErr w:type="gramEnd"/>
      <w:r>
        <w:t xml:space="preserve"> (1) A </w:t>
      </w:r>
      <w:proofErr w:type="spellStart"/>
      <w:r>
        <w:t>student</w:t>
      </w:r>
      <w:proofErr w:type="spellEnd"/>
      <w:r>
        <w:t xml:space="preserve"> can </w:t>
      </w:r>
      <w:proofErr w:type="spellStart"/>
      <w:r>
        <w:t>become</w:t>
      </w:r>
      <w:proofErr w:type="spellEnd"/>
      <w:r>
        <w:t xml:space="preserve"> an </w:t>
      </w:r>
      <w:proofErr w:type="spellStart"/>
      <w:r>
        <w:t>Erasmus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once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educational</w:t>
      </w:r>
      <w:proofErr w:type="spellEnd"/>
      <w:r>
        <w:t xml:space="preserve"> </w:t>
      </w:r>
      <w:proofErr w:type="spellStart"/>
      <w:r>
        <w:t>purposes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once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internship</w:t>
      </w:r>
      <w:proofErr w:type="spellEnd"/>
      <w:r>
        <w:t xml:space="preserve"> </w:t>
      </w:r>
      <w:proofErr w:type="spellStart"/>
      <w:r>
        <w:t>purposes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 w:rsidR="00FD27D1">
        <w:t>thei</w:t>
      </w:r>
      <w:r>
        <w:t>r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life.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duration</w:t>
      </w:r>
      <w:proofErr w:type="spellEnd"/>
      <w:r>
        <w:t xml:space="preserve"> of </w:t>
      </w:r>
      <w:proofErr w:type="spellStart"/>
      <w:r>
        <w:t>activity</w:t>
      </w:r>
      <w:proofErr w:type="spellEnd"/>
      <w:r>
        <w:t xml:space="preserve"> of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comply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minimum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maximum</w:t>
      </w:r>
      <w:proofErr w:type="spellEnd"/>
      <w:r>
        <w:t xml:space="preserve"> </w:t>
      </w:r>
      <w:proofErr w:type="spellStart"/>
      <w:r>
        <w:t>periods</w:t>
      </w:r>
      <w:proofErr w:type="spellEnd"/>
      <w:r>
        <w:t xml:space="preserve"> </w:t>
      </w:r>
      <w:proofErr w:type="spellStart"/>
      <w:r>
        <w:t>specified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Commission</w:t>
      </w:r>
      <w:proofErr w:type="spellEnd"/>
      <w:r>
        <w:t>.</w:t>
      </w:r>
    </w:p>
    <w:p w14:paraId="289CB535" w14:textId="4F5FEA86" w:rsidR="00633B11" w:rsidRDefault="009B30DB">
      <w:pPr>
        <w:pStyle w:val="P68B1DB1-ListParagraph2"/>
        <w:numPr>
          <w:ilvl w:val="0"/>
          <w:numId w:val="3"/>
        </w:numPr>
        <w:tabs>
          <w:tab w:val="left" w:pos="1163"/>
        </w:tabs>
        <w:ind w:right="0" w:firstLine="708"/>
        <w:jc w:val="left"/>
      </w:pPr>
      <w:proofErr w:type="spellStart"/>
      <w:r>
        <w:t>Students</w:t>
      </w:r>
      <w:proofErr w:type="spellEnd"/>
      <w:r>
        <w:t xml:space="preserve"> can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part</w:t>
      </w:r>
      <w:proofErr w:type="spellEnd"/>
      <w:r>
        <w:t xml:space="preserve"> in </w:t>
      </w:r>
      <w:proofErr w:type="spellStart"/>
      <w:r>
        <w:t>exchanges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a </w:t>
      </w:r>
      <w:proofErr w:type="spellStart"/>
      <w:r>
        <w:t>grant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scope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 w:rsidR="00853849">
        <w:t>programme</w:t>
      </w:r>
      <w:proofErr w:type="spellEnd"/>
      <w:r>
        <w:t>.</w:t>
      </w:r>
    </w:p>
    <w:p w14:paraId="289CB536" w14:textId="598F6FBC" w:rsidR="00633B11" w:rsidRDefault="009B30DB">
      <w:pPr>
        <w:pStyle w:val="P68B1DB1-ListParagraph2"/>
        <w:numPr>
          <w:ilvl w:val="0"/>
          <w:numId w:val="3"/>
        </w:numPr>
        <w:tabs>
          <w:tab w:val="left" w:pos="1168"/>
        </w:tabs>
        <w:spacing w:before="40" w:line="276" w:lineRule="auto"/>
        <w:ind w:right="116" w:firstLine="708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 w:rsidR="00FD27D1">
        <w:t>grant</w:t>
      </w:r>
      <w:proofErr w:type="spellEnd"/>
      <w:r w:rsidR="00FD27D1">
        <w:t xml:space="preserve"> </w:t>
      </w:r>
      <w:proofErr w:type="spellStart"/>
      <w:r w:rsidR="00FD27D1">
        <w:t>amou</w:t>
      </w:r>
      <w:r>
        <w:t>nt</w:t>
      </w:r>
      <w:proofErr w:type="spellEnd"/>
      <w:r>
        <w:t xml:space="preserve"> is </w:t>
      </w:r>
      <w:proofErr w:type="spellStart"/>
      <w:r>
        <w:t>paid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dates</w:t>
      </w:r>
      <w:proofErr w:type="spellEnd"/>
      <w:r>
        <w:t xml:space="preserve"> </w:t>
      </w:r>
      <w:proofErr w:type="spellStart"/>
      <w:r>
        <w:t>determined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methods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determined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year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Agency</w:t>
      </w:r>
      <w:proofErr w:type="spellEnd"/>
      <w:r>
        <w:t>.</w:t>
      </w:r>
    </w:p>
    <w:p w14:paraId="289CB537" w14:textId="77777777" w:rsidR="00633B11" w:rsidRDefault="00633B11">
      <w:pPr>
        <w:spacing w:line="276" w:lineRule="auto"/>
        <w:jc w:val="both"/>
        <w:rPr>
          <w:sz w:val="24"/>
        </w:rPr>
        <w:sectPr w:rsidR="00633B11">
          <w:pgSz w:w="11910" w:h="16840"/>
          <w:pgMar w:top="1580" w:right="1300" w:bottom="280" w:left="1300" w:header="708" w:footer="708" w:gutter="0"/>
          <w:cols w:space="708"/>
        </w:sectPr>
      </w:pPr>
    </w:p>
    <w:p w14:paraId="289CB538" w14:textId="16A52E71" w:rsidR="00633B11" w:rsidRDefault="009B30DB">
      <w:pPr>
        <w:pStyle w:val="P68B1DB1-ListParagraph2"/>
        <w:numPr>
          <w:ilvl w:val="0"/>
          <w:numId w:val="3"/>
        </w:numPr>
        <w:tabs>
          <w:tab w:val="left" w:pos="1165"/>
        </w:tabs>
        <w:spacing w:before="77" w:line="276" w:lineRule="auto"/>
        <w:ind w:right="116" w:firstLine="708"/>
        <w:jc w:val="both"/>
      </w:pPr>
      <w:proofErr w:type="spellStart"/>
      <w:r>
        <w:lastRenderedPageBreak/>
        <w:t>Payments</w:t>
      </w:r>
      <w:proofErr w:type="spellEnd"/>
      <w:r>
        <w:t xml:space="preserve">; </w:t>
      </w:r>
      <w:proofErr w:type="spellStart"/>
      <w:r>
        <w:t>Tax</w:t>
      </w:r>
      <w:proofErr w:type="spellEnd"/>
      <w:r>
        <w:t xml:space="preserve">,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security</w:t>
      </w:r>
      <w:proofErr w:type="spellEnd"/>
      <w:r>
        <w:t xml:space="preserve"> </w:t>
      </w:r>
      <w:proofErr w:type="spellStart"/>
      <w:r>
        <w:t>and</w:t>
      </w:r>
      <w:proofErr w:type="spellEnd"/>
      <w:r>
        <w:t>/</w:t>
      </w:r>
      <w:proofErr w:type="spellStart"/>
      <w:r>
        <w:t>or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expenses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transferred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bank </w:t>
      </w:r>
      <w:proofErr w:type="spellStart"/>
      <w:r>
        <w:t>account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 w:rsidR="00FD27D1">
        <w:t>notif</w:t>
      </w:r>
      <w:r>
        <w:t>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deductions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as </w:t>
      </w:r>
      <w:proofErr w:type="spellStart"/>
      <w:r>
        <w:t>administrative</w:t>
      </w:r>
      <w:proofErr w:type="spellEnd"/>
      <w:r>
        <w:t xml:space="preserve">, </w:t>
      </w:r>
      <w:proofErr w:type="spellStart"/>
      <w:r>
        <w:t>administrative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registration</w:t>
      </w:r>
      <w:proofErr w:type="spellEnd"/>
      <w:r>
        <w:t xml:space="preserve"> </w:t>
      </w:r>
      <w:proofErr w:type="spellStart"/>
      <w:r>
        <w:t>fees</w:t>
      </w:r>
      <w:proofErr w:type="spellEnd"/>
      <w:r>
        <w:t xml:space="preserve">. </w:t>
      </w:r>
      <w:proofErr w:type="spellStart"/>
      <w:r>
        <w:t>All</w:t>
      </w:r>
      <w:proofErr w:type="spellEnd"/>
      <w:r>
        <w:t xml:space="preserve"> </w:t>
      </w:r>
      <w:proofErr w:type="spellStart"/>
      <w:r>
        <w:t>expenses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bank </w:t>
      </w:r>
      <w:proofErr w:type="spellStart"/>
      <w:r>
        <w:t>transactions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covered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>.</w:t>
      </w:r>
    </w:p>
    <w:p w14:paraId="289CB539" w14:textId="140592C3" w:rsidR="00633B11" w:rsidRDefault="009B30DB">
      <w:pPr>
        <w:pStyle w:val="P68B1DB1-ListParagraph2"/>
        <w:numPr>
          <w:ilvl w:val="0"/>
          <w:numId w:val="3"/>
        </w:numPr>
        <w:tabs>
          <w:tab w:val="left" w:pos="1269"/>
        </w:tabs>
        <w:spacing w:before="1" w:line="276" w:lineRule="auto"/>
        <w:ind w:right="115" w:firstLine="708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Institutional</w:t>
      </w:r>
      <w:proofErr w:type="spellEnd"/>
      <w:r>
        <w:t xml:space="preserve"> </w:t>
      </w:r>
      <w:proofErr w:type="spellStart"/>
      <w:r>
        <w:t>Coordinator</w:t>
      </w:r>
      <w:r w:rsidR="00DB4ACC">
        <w:t>’</w:t>
      </w:r>
      <w:r>
        <w:t>s</w:t>
      </w:r>
      <w:proofErr w:type="spellEnd"/>
      <w:r>
        <w:t xml:space="preserve"> Office is </w:t>
      </w:r>
      <w:proofErr w:type="spellStart"/>
      <w:r>
        <w:t>responsible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deductions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total </w:t>
      </w:r>
      <w:proofErr w:type="spellStart"/>
      <w:r>
        <w:t>grants</w:t>
      </w:r>
      <w:proofErr w:type="spellEnd"/>
      <w:r>
        <w:t xml:space="preserve"> of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found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not </w:t>
      </w:r>
      <w:proofErr w:type="spellStart"/>
      <w:r>
        <w:t>attended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courses</w:t>
      </w:r>
      <w:proofErr w:type="spellEnd"/>
      <w:r>
        <w:t xml:space="preserve">, </w:t>
      </w:r>
      <w:proofErr w:type="spellStart"/>
      <w:r>
        <w:t>failed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exams</w:t>
      </w:r>
      <w:proofErr w:type="spellEnd"/>
      <w:r>
        <w:t xml:space="preserve">, </w:t>
      </w:r>
      <w:proofErr w:type="spellStart"/>
      <w:r>
        <w:t>failed</w:t>
      </w:r>
      <w:proofErr w:type="spellEnd"/>
      <w:r>
        <w:t xml:space="preserve"> at </w:t>
      </w:r>
      <w:proofErr w:type="spellStart"/>
      <w:r>
        <w:t>least</w:t>
      </w:r>
      <w:proofErr w:type="spellEnd"/>
      <w:r>
        <w:t xml:space="preserve"> </w:t>
      </w:r>
      <w:proofErr w:type="spellStart"/>
      <w:r>
        <w:t>two-thirds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determined</w:t>
      </w:r>
      <w:proofErr w:type="spellEnd"/>
      <w:r>
        <w:t xml:space="preserve"> </w:t>
      </w:r>
      <w:proofErr w:type="spellStart"/>
      <w:r>
        <w:t>curriculum</w:t>
      </w:r>
      <w:proofErr w:type="spellEnd"/>
      <w:r>
        <w:t xml:space="preserve"> (total </w:t>
      </w:r>
      <w:proofErr w:type="spellStart"/>
      <w:r>
        <w:t>number</w:t>
      </w:r>
      <w:proofErr w:type="spellEnd"/>
      <w:r>
        <w:t xml:space="preserve"> of </w:t>
      </w:r>
      <w:proofErr w:type="spellStart"/>
      <w:r>
        <w:t>credits</w:t>
      </w:r>
      <w:proofErr w:type="spellEnd"/>
      <w:r>
        <w:t xml:space="preserve">) </w:t>
      </w:r>
      <w:proofErr w:type="spellStart"/>
      <w:r>
        <w:t>and</w:t>
      </w:r>
      <w:proofErr w:type="spellEnd"/>
      <w:r>
        <w:t xml:space="preserve"> </w:t>
      </w:r>
      <w:proofErr w:type="spellStart"/>
      <w:r w:rsidR="00FD27D1">
        <w:t>was</w:t>
      </w:r>
      <w:proofErr w:type="spellEnd"/>
      <w:r w:rsidR="00FD27D1">
        <w:t xml:space="preserve"> </w:t>
      </w:r>
      <w:proofErr w:type="spellStart"/>
      <w:r w:rsidR="00FD27D1">
        <w:t>unable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fulfil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responsibilities</w:t>
      </w:r>
      <w:proofErr w:type="spellEnd"/>
      <w:r>
        <w:t xml:space="preserve"> as </w:t>
      </w:r>
      <w:proofErr w:type="spellStart"/>
      <w:r>
        <w:t>students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situation</w:t>
      </w:r>
      <w:proofErr w:type="spellEnd"/>
      <w:r>
        <w:t xml:space="preserve"> is </w:t>
      </w:r>
      <w:proofErr w:type="spellStart"/>
      <w:r>
        <w:t>documented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participation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 w:rsidR="00853849">
        <w:t>programme</w:t>
      </w:r>
      <w:proofErr w:type="spellEnd"/>
      <w:r>
        <w:t xml:space="preserve"> is </w:t>
      </w:r>
      <w:proofErr w:type="spellStart"/>
      <w:r>
        <w:t>decided</w:t>
      </w:r>
      <w:proofErr w:type="spellEnd"/>
      <w:r>
        <w:t xml:space="preserve"> </w:t>
      </w:r>
      <w:proofErr w:type="spellStart"/>
      <w:r>
        <w:t>first</w:t>
      </w:r>
      <w:proofErr w:type="spellEnd"/>
      <w:r>
        <w:t>.</w:t>
      </w:r>
    </w:p>
    <w:p w14:paraId="289CB53A" w14:textId="319E05D4" w:rsidR="00633B11" w:rsidRDefault="009B30DB">
      <w:pPr>
        <w:pStyle w:val="P68B1DB1-ListParagraph2"/>
        <w:numPr>
          <w:ilvl w:val="0"/>
          <w:numId w:val="3"/>
        </w:numPr>
        <w:tabs>
          <w:tab w:val="left" w:pos="1233"/>
        </w:tabs>
        <w:spacing w:before="3" w:line="276" w:lineRule="auto"/>
        <w:ind w:right="118" w:firstLine="708"/>
        <w:jc w:val="both"/>
      </w:pPr>
      <w:proofErr w:type="spellStart"/>
      <w:r>
        <w:t>Students</w:t>
      </w:r>
      <w:proofErr w:type="spellEnd"/>
      <w:r>
        <w:t xml:space="preserve"> </w:t>
      </w:r>
      <w:proofErr w:type="spellStart"/>
      <w:r>
        <w:t>continue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pay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tuition</w:t>
      </w:r>
      <w:proofErr w:type="spellEnd"/>
      <w:r>
        <w:t xml:space="preserve"> </w:t>
      </w:r>
      <w:proofErr w:type="spellStart"/>
      <w:r>
        <w:t>fees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registering</w:t>
      </w:r>
      <w:proofErr w:type="spellEnd"/>
      <w:r>
        <w:t xml:space="preserve"> at </w:t>
      </w:r>
      <w:proofErr w:type="spellStart"/>
      <w:r>
        <w:t>our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studying</w:t>
      </w:r>
      <w:proofErr w:type="spellEnd"/>
      <w:r>
        <w:t xml:space="preserve"> </w:t>
      </w:r>
      <w:proofErr w:type="spellStart"/>
      <w:r>
        <w:t>abroad</w:t>
      </w:r>
      <w:proofErr w:type="spellEnd"/>
      <w:r>
        <w:t xml:space="preserve">.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do </w:t>
      </w:r>
      <w:proofErr w:type="spellStart"/>
      <w:r>
        <w:t>double</w:t>
      </w:r>
      <w:proofErr w:type="spellEnd"/>
      <w:r>
        <w:t xml:space="preserve"> </w:t>
      </w:r>
      <w:proofErr w:type="spellStart"/>
      <w:r>
        <w:t>major</w:t>
      </w:r>
      <w:r w:rsidR="00FD27D1">
        <w:t>-</w:t>
      </w:r>
      <w:r>
        <w:t>minor</w:t>
      </w:r>
      <w:proofErr w:type="spellEnd"/>
      <w:r>
        <w:t xml:space="preserve"> </w:t>
      </w:r>
      <w:proofErr w:type="spellStart"/>
      <w:r w:rsidR="00853849">
        <w:t>programme</w:t>
      </w:r>
      <w:proofErr w:type="spellEnd"/>
      <w:r>
        <w:t xml:space="preserve"> can </w:t>
      </w:r>
      <w:proofErr w:type="spellStart"/>
      <w:r>
        <w:t>freeze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registration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second</w:t>
      </w:r>
      <w:proofErr w:type="spellEnd"/>
      <w:r>
        <w:t xml:space="preserve"> diploma </w:t>
      </w:r>
      <w:proofErr w:type="spellStart"/>
      <w:r w:rsidR="00853849">
        <w:t>programme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minor</w:t>
      </w:r>
      <w:proofErr w:type="spellEnd"/>
      <w:r>
        <w:t xml:space="preserve"> </w:t>
      </w:r>
      <w:proofErr w:type="spellStart"/>
      <w:r w:rsidR="00853849">
        <w:t>programme</w:t>
      </w:r>
      <w:proofErr w:type="spellEnd"/>
      <w:r>
        <w:t xml:space="preserve"> </w:t>
      </w:r>
      <w:proofErr w:type="spellStart"/>
      <w:r>
        <w:t>upon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request</w:t>
      </w:r>
      <w:proofErr w:type="spellEnd"/>
      <w:r>
        <w:t>.</w:t>
      </w:r>
    </w:p>
    <w:p w14:paraId="289CB53B" w14:textId="77777777" w:rsidR="00633B11" w:rsidRDefault="009B30DB">
      <w:pPr>
        <w:pStyle w:val="P68B1DB1-ListParagraph2"/>
        <w:numPr>
          <w:ilvl w:val="0"/>
          <w:numId w:val="3"/>
        </w:numPr>
        <w:tabs>
          <w:tab w:val="left" w:pos="1187"/>
        </w:tabs>
        <w:spacing w:before="3" w:line="276" w:lineRule="auto"/>
        <w:ind w:firstLine="708"/>
        <w:jc w:val="both"/>
      </w:pPr>
      <w:proofErr w:type="spellStart"/>
      <w:r>
        <w:t>Each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signs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“</w:t>
      </w:r>
      <w:proofErr w:type="spellStart"/>
      <w:r>
        <w:t>Student</w:t>
      </w:r>
      <w:proofErr w:type="spellEnd"/>
      <w:r>
        <w:t xml:space="preserve"> Grant </w:t>
      </w:r>
      <w:proofErr w:type="spellStart"/>
      <w:r>
        <w:t>Agreement</w:t>
      </w:r>
      <w:proofErr w:type="spellEnd"/>
      <w:r>
        <w:t xml:space="preserve">”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Institutional</w:t>
      </w:r>
      <w:proofErr w:type="spellEnd"/>
      <w:r>
        <w:t xml:space="preserve"> </w:t>
      </w:r>
      <w:proofErr w:type="spellStart"/>
      <w:r>
        <w:t>Coordinator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receiving</w:t>
      </w:r>
      <w:proofErr w:type="spellEnd"/>
      <w:r>
        <w:t xml:space="preserve"> a </w:t>
      </w:r>
      <w:proofErr w:type="spellStart"/>
      <w:r>
        <w:t>grant</w:t>
      </w:r>
      <w:proofErr w:type="spellEnd"/>
      <w:r>
        <w:t>.</w:t>
      </w:r>
    </w:p>
    <w:p w14:paraId="289CB53C" w14:textId="220B021C" w:rsidR="00633B11" w:rsidRDefault="009B30DB">
      <w:pPr>
        <w:pStyle w:val="P68B1DB1-ListParagraph2"/>
        <w:numPr>
          <w:ilvl w:val="0"/>
          <w:numId w:val="3"/>
        </w:numPr>
        <w:tabs>
          <w:tab w:val="left" w:pos="1170"/>
        </w:tabs>
        <w:spacing w:before="1" w:line="276" w:lineRule="auto"/>
        <w:ind w:firstLine="708"/>
        <w:jc w:val="both"/>
      </w:pPr>
      <w:proofErr w:type="spellStart"/>
      <w:r>
        <w:t>Before</w:t>
      </w:r>
      <w:proofErr w:type="spellEnd"/>
      <w:r>
        <w:t xml:space="preserve"> </w:t>
      </w:r>
      <w:proofErr w:type="spellStart"/>
      <w:r>
        <w:t>participating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exchange</w:t>
      </w:r>
      <w:proofErr w:type="spellEnd"/>
      <w:r>
        <w:t xml:space="preserve">,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given</w:t>
      </w:r>
      <w:proofErr w:type="spellEnd"/>
      <w:r>
        <w:t xml:space="preserve"> an </w:t>
      </w:r>
      <w:r w:rsidR="00DB4ACC">
        <w:t>“</w:t>
      </w:r>
      <w:proofErr w:type="spellStart"/>
      <w:r>
        <w:t>Erasmus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Statement</w:t>
      </w:r>
      <w:r w:rsidR="00DB4ACC">
        <w:t>”</w:t>
      </w:r>
      <w:r>
        <w:t xml:space="preserve"> </w:t>
      </w:r>
      <w:proofErr w:type="spellStart"/>
      <w:r>
        <w:t>stating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obligations</w:t>
      </w:r>
      <w:proofErr w:type="spellEnd"/>
      <w:r>
        <w:t>.</w:t>
      </w:r>
    </w:p>
    <w:p w14:paraId="289CB53D" w14:textId="7369186D" w:rsidR="00633B11" w:rsidRDefault="009B30DB">
      <w:pPr>
        <w:pStyle w:val="P68B1DB1-ListParagraph2"/>
        <w:numPr>
          <w:ilvl w:val="0"/>
          <w:numId w:val="3"/>
        </w:numPr>
        <w:tabs>
          <w:tab w:val="left" w:pos="1252"/>
        </w:tabs>
        <w:spacing w:before="1" w:line="276" w:lineRule="auto"/>
        <w:ind w:right="115" w:firstLine="708"/>
        <w:jc w:val="both"/>
      </w:pPr>
      <w:proofErr w:type="spellStart"/>
      <w:r>
        <w:t>Our</w:t>
      </w:r>
      <w:proofErr w:type="spellEnd"/>
      <w:r>
        <w:t xml:space="preserve"> </w:t>
      </w:r>
      <w:proofErr w:type="spellStart"/>
      <w:r w:rsidR="00FD27D1">
        <w:t>U</w:t>
      </w:r>
      <w:r>
        <w:t>niversity</w:t>
      </w:r>
      <w:proofErr w:type="spellEnd"/>
      <w:r>
        <w:t xml:space="preserve"> </w:t>
      </w:r>
      <w:proofErr w:type="spellStart"/>
      <w:r>
        <w:t>ensures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continuation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scholarships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similar</w:t>
      </w:r>
      <w:proofErr w:type="spellEnd"/>
      <w:r>
        <w:t xml:space="preserve"> </w:t>
      </w:r>
      <w:proofErr w:type="spellStart"/>
      <w:r>
        <w:t>payments</w:t>
      </w:r>
      <w:proofErr w:type="spellEnd"/>
      <w:r>
        <w:t xml:space="preserve"> </w:t>
      </w:r>
      <w:proofErr w:type="spellStart"/>
      <w:r>
        <w:t>given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 w:rsidR="00FD27D1">
        <w:t>U</w:t>
      </w:r>
      <w:r>
        <w:t>niversity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participating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exchange</w:t>
      </w:r>
      <w:proofErr w:type="spellEnd"/>
      <w:r>
        <w:t xml:space="preserve"> </w:t>
      </w:r>
      <w:proofErr w:type="spellStart"/>
      <w:r w:rsidR="00853849">
        <w:t>programme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abroad</w:t>
      </w:r>
      <w:proofErr w:type="spellEnd"/>
      <w:r>
        <w:t>.</w:t>
      </w:r>
    </w:p>
    <w:p w14:paraId="289CB53E" w14:textId="2A0BBE9E" w:rsidR="00633B11" w:rsidRDefault="009B30DB">
      <w:pPr>
        <w:pStyle w:val="P68B1DB1-ListParagraph2"/>
        <w:numPr>
          <w:ilvl w:val="0"/>
          <w:numId w:val="3"/>
        </w:numPr>
        <w:tabs>
          <w:tab w:val="left" w:pos="1379"/>
        </w:tabs>
        <w:spacing w:before="1" w:line="276" w:lineRule="auto"/>
        <w:ind w:firstLine="708"/>
        <w:jc w:val="both"/>
      </w:pPr>
      <w:r>
        <w:t xml:space="preserve">A Learning </w:t>
      </w:r>
      <w:proofErr w:type="spellStart"/>
      <w:r>
        <w:t>Agreement</w:t>
      </w:r>
      <w:proofErr w:type="spellEnd"/>
      <w:r>
        <w:t xml:space="preserve"> is </w:t>
      </w:r>
      <w:proofErr w:type="spellStart"/>
      <w:r>
        <w:t>signed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Institution</w:t>
      </w:r>
      <w:proofErr w:type="spellEnd"/>
      <w:r>
        <w:t xml:space="preserve"> </w:t>
      </w:r>
      <w:proofErr w:type="spellStart"/>
      <w:r>
        <w:t>Coordinators</w:t>
      </w:r>
      <w:proofErr w:type="spellEnd"/>
      <w:r>
        <w:t xml:space="preserve"> of </w:t>
      </w:r>
      <w:proofErr w:type="spellStart"/>
      <w:r>
        <w:t>our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Institution</w:t>
      </w:r>
      <w:proofErr w:type="spellEnd"/>
      <w:r>
        <w:t xml:space="preserve"> </w:t>
      </w:r>
      <w:proofErr w:type="spellStart"/>
      <w:r>
        <w:t>Coordinators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 w:rsidR="00FD27D1">
        <w:t>U</w:t>
      </w:r>
      <w:r>
        <w:t>niversity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attend</w:t>
      </w:r>
      <w:proofErr w:type="spellEnd"/>
      <w:r>
        <w:t>.</w:t>
      </w:r>
    </w:p>
    <w:p w14:paraId="289CB53F" w14:textId="77777777" w:rsidR="00633B11" w:rsidRDefault="009B30DB">
      <w:pPr>
        <w:pStyle w:val="P68B1DB1-ListParagraph2"/>
        <w:numPr>
          <w:ilvl w:val="0"/>
          <w:numId w:val="3"/>
        </w:numPr>
        <w:tabs>
          <w:tab w:val="left" w:pos="1370"/>
        </w:tabs>
        <w:spacing w:before="1" w:line="276" w:lineRule="auto"/>
        <w:ind w:right="115" w:firstLine="708"/>
        <w:jc w:val="both"/>
      </w:pPr>
      <w:r>
        <w:t xml:space="preserve">Learning </w:t>
      </w:r>
      <w:proofErr w:type="spellStart"/>
      <w:r>
        <w:t>Agreements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selected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approved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board of </w:t>
      </w:r>
      <w:proofErr w:type="spellStart"/>
      <w:r>
        <w:t>directors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relevant</w:t>
      </w:r>
      <w:proofErr w:type="spellEnd"/>
      <w:r>
        <w:t xml:space="preserve"> </w:t>
      </w:r>
      <w:proofErr w:type="spellStart"/>
      <w:r>
        <w:t>unit</w:t>
      </w:r>
      <w:proofErr w:type="spellEnd"/>
      <w:r>
        <w:t xml:space="preserve">. </w:t>
      </w:r>
      <w:proofErr w:type="spellStart"/>
      <w:r>
        <w:t>In</w:t>
      </w:r>
      <w:proofErr w:type="spellEnd"/>
      <w:r>
        <w:t xml:space="preserve"> </w:t>
      </w:r>
      <w:proofErr w:type="spellStart"/>
      <w:r>
        <w:t>case</w:t>
      </w:r>
      <w:proofErr w:type="spellEnd"/>
      <w:r>
        <w:t xml:space="preserve"> of a </w:t>
      </w:r>
      <w:proofErr w:type="spellStart"/>
      <w:r>
        <w:t>change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determined</w:t>
      </w:r>
      <w:proofErr w:type="spellEnd"/>
      <w:r>
        <w:t xml:space="preserve"> </w:t>
      </w:r>
      <w:proofErr w:type="spellStart"/>
      <w:r>
        <w:t>courses</w:t>
      </w:r>
      <w:proofErr w:type="spellEnd"/>
      <w:r>
        <w:t xml:space="preserve">, </w:t>
      </w:r>
      <w:proofErr w:type="spellStart"/>
      <w:r>
        <w:t>provided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it is </w:t>
      </w:r>
      <w:proofErr w:type="spellStart"/>
      <w:r>
        <w:t>within</w:t>
      </w:r>
      <w:proofErr w:type="spellEnd"/>
      <w:r>
        <w:t xml:space="preserve"> 1 </w:t>
      </w:r>
      <w:proofErr w:type="spellStart"/>
      <w:r>
        <w:t>month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latest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start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academic</w:t>
      </w:r>
      <w:proofErr w:type="spellEnd"/>
      <w:r>
        <w:t xml:space="preserve"> </w:t>
      </w:r>
      <w:proofErr w:type="spellStart"/>
      <w:r>
        <w:t>term</w:t>
      </w:r>
      <w:proofErr w:type="spellEnd"/>
      <w:r>
        <w:t xml:space="preserve">,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universities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approve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change</w:t>
      </w:r>
      <w:proofErr w:type="spellEnd"/>
      <w:r>
        <w:t>.</w:t>
      </w:r>
    </w:p>
    <w:p w14:paraId="289CB540" w14:textId="2FEC867F" w:rsidR="00633B11" w:rsidRDefault="009B30DB">
      <w:pPr>
        <w:pStyle w:val="P68B1DB1-ListParagraph2"/>
        <w:numPr>
          <w:ilvl w:val="0"/>
          <w:numId w:val="3"/>
        </w:numPr>
        <w:tabs>
          <w:tab w:val="left" w:pos="1283"/>
        </w:tabs>
        <w:spacing w:before="1" w:line="276" w:lineRule="auto"/>
        <w:ind w:right="113" w:firstLine="708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courses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take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institution</w:t>
      </w:r>
      <w:proofErr w:type="spellEnd"/>
      <w:r w:rsidR="00DB4ACC">
        <w:t xml:space="preserve">, </w:t>
      </w:r>
      <w:proofErr w:type="spellStart"/>
      <w:r>
        <w:t>will</w:t>
      </w:r>
      <w:proofErr w:type="spellEnd"/>
      <w:r>
        <w:t xml:space="preserve"> not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exactly</w:t>
      </w:r>
      <w:proofErr w:type="spellEnd"/>
      <w:r>
        <w:t xml:space="preserve"> </w:t>
      </w:r>
      <w:proofErr w:type="spellStart"/>
      <w:r>
        <w:t>match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courses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obliged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take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relevant</w:t>
      </w:r>
      <w:proofErr w:type="spellEnd"/>
      <w:r>
        <w:t xml:space="preserve"> </w:t>
      </w:r>
      <w:proofErr w:type="spellStart"/>
      <w:r>
        <w:t>semester</w:t>
      </w:r>
      <w:proofErr w:type="spellEnd"/>
      <w:r>
        <w:t>/</w:t>
      </w:r>
      <w:proofErr w:type="spellStart"/>
      <w:r>
        <w:t>year</w:t>
      </w:r>
      <w:proofErr w:type="spellEnd"/>
      <w:r>
        <w:t xml:space="preserve"> at </w:t>
      </w:r>
      <w:proofErr w:type="spellStart"/>
      <w:r>
        <w:t>our</w:t>
      </w:r>
      <w:proofErr w:type="spellEnd"/>
      <w:r>
        <w:t xml:space="preserve"> </w:t>
      </w:r>
      <w:proofErr w:type="spellStart"/>
      <w:r>
        <w:t>University</w:t>
      </w:r>
      <w:proofErr w:type="spellEnd"/>
      <w:r w:rsidR="00DB4ACC">
        <w:t xml:space="preserve">. </w:t>
      </w:r>
      <w:proofErr w:type="spellStart"/>
      <w:r w:rsidR="00DB4ACC">
        <w:t>Still</w:t>
      </w:r>
      <w:proofErr w:type="spellEnd"/>
      <w:r w:rsidR="00DB4ACC">
        <w:t>,</w:t>
      </w:r>
      <w:r>
        <w:t xml:space="preserve"> </w:t>
      </w:r>
      <w:proofErr w:type="spellStart"/>
      <w:r>
        <w:t>care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taken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choose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courses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closest</w:t>
      </w:r>
      <w:proofErr w:type="spellEnd"/>
      <w:r>
        <w:t xml:space="preserve"> in </w:t>
      </w:r>
      <w:proofErr w:type="spellStart"/>
      <w:r>
        <w:t>content</w:t>
      </w:r>
      <w:proofErr w:type="spellEnd"/>
      <w:r>
        <w:t xml:space="preserve">. A </w:t>
      </w:r>
      <w:proofErr w:type="spellStart"/>
      <w:r>
        <w:t>course</w:t>
      </w:r>
      <w:proofErr w:type="spellEnd"/>
      <w:r>
        <w:t xml:space="preserve"> can be </w:t>
      </w:r>
      <w:proofErr w:type="spellStart"/>
      <w:r>
        <w:t>paired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content</w:t>
      </w:r>
      <w:proofErr w:type="spellEnd"/>
      <w:r>
        <w:t xml:space="preserve"> is </w:t>
      </w:r>
      <w:proofErr w:type="spellStart"/>
      <w:r>
        <w:t>appropriate</w:t>
      </w:r>
      <w:proofErr w:type="spellEnd"/>
      <w:r>
        <w:t>.</w:t>
      </w:r>
    </w:p>
    <w:p w14:paraId="289CB541" w14:textId="6A9C2F6E" w:rsidR="00633B11" w:rsidRDefault="009B30DB">
      <w:pPr>
        <w:pStyle w:val="P68B1DB1-ListParagraph2"/>
        <w:numPr>
          <w:ilvl w:val="0"/>
          <w:numId w:val="3"/>
        </w:numPr>
        <w:tabs>
          <w:tab w:val="left" w:pos="1341"/>
        </w:tabs>
        <w:spacing w:before="1" w:line="276" w:lineRule="auto"/>
        <w:ind w:right="114" w:firstLine="708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courses</w:t>
      </w:r>
      <w:proofErr w:type="spellEnd"/>
      <w:r>
        <w:t xml:space="preserve"> </w:t>
      </w:r>
      <w:proofErr w:type="spellStart"/>
      <w:r>
        <w:t>taken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 w:rsidR="00853849">
        <w:t>programme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converted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grading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</w:t>
      </w:r>
      <w:proofErr w:type="spellStart"/>
      <w:r>
        <w:t>applied</w:t>
      </w:r>
      <w:proofErr w:type="spellEnd"/>
      <w:r>
        <w:t xml:space="preserve"> in </w:t>
      </w:r>
      <w:proofErr w:type="spellStart"/>
      <w:r>
        <w:t>our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added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weighted</w:t>
      </w:r>
      <w:proofErr w:type="spellEnd"/>
      <w:r>
        <w:t xml:space="preserve"> </w:t>
      </w:r>
      <w:proofErr w:type="spellStart"/>
      <w:r>
        <w:t>grade</w:t>
      </w:r>
      <w:proofErr w:type="spellEnd"/>
      <w:r>
        <w:t xml:space="preserve"> </w:t>
      </w:r>
      <w:proofErr w:type="spellStart"/>
      <w:r>
        <w:t>point</w:t>
      </w:r>
      <w:proofErr w:type="spellEnd"/>
      <w:r>
        <w:t xml:space="preserve"> </w:t>
      </w:r>
      <w:proofErr w:type="spellStart"/>
      <w:r>
        <w:t>average</w:t>
      </w:r>
      <w:proofErr w:type="spellEnd"/>
      <w:r w:rsidR="00DB4ACC">
        <w:t>,</w:t>
      </w:r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recorded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transcript</w:t>
      </w:r>
      <w:proofErr w:type="spellEnd"/>
      <w:r>
        <w:t xml:space="preserve">.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has a </w:t>
      </w:r>
      <w:proofErr w:type="spellStart"/>
      <w:r>
        <w:t>failed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, </w:t>
      </w:r>
      <w:proofErr w:type="spellStart"/>
      <w:r w:rsidR="00DB4ACC">
        <w:t>they</w:t>
      </w:r>
      <w:proofErr w:type="spellEnd"/>
      <w:r w:rsidR="00DB4ACC">
        <w:t xml:space="preserve"> </w:t>
      </w:r>
      <w:proofErr w:type="spellStart"/>
      <w:r w:rsidR="00DB4ACC">
        <w:t>must</w:t>
      </w:r>
      <w:proofErr w:type="spellEnd"/>
      <w:r w:rsidR="00DB4ACC">
        <w:t xml:space="preserve"> </w:t>
      </w:r>
      <w:proofErr w:type="spellStart"/>
      <w:r w:rsidR="00DB4ACC">
        <w:t>take</w:t>
      </w:r>
      <w:proofErr w:type="spellEnd"/>
      <w:r w:rsidR="00DB4ACC">
        <w:t xml:space="preserve"> </w:t>
      </w:r>
      <w:proofErr w:type="spellStart"/>
      <w:r w:rsidR="00DB4ACC">
        <w:t>the</w:t>
      </w:r>
      <w:proofErr w:type="spellEnd"/>
      <w:r w:rsidR="00DB4ACC">
        <w:t xml:space="preserve"> </w:t>
      </w:r>
      <w:proofErr w:type="spellStart"/>
      <w:r w:rsidR="00DB4ACC">
        <w:t>course</w:t>
      </w:r>
      <w:proofErr w:type="spellEnd"/>
      <w:r w:rsidR="00DB4ACC">
        <w:t>/</w:t>
      </w:r>
      <w:proofErr w:type="spellStart"/>
      <w:r w:rsidR="00DB4ACC">
        <w:t>courses</w:t>
      </w:r>
      <w:proofErr w:type="spellEnd"/>
      <w:r>
        <w:t xml:space="preserve"> </w:t>
      </w:r>
      <w:proofErr w:type="spellStart"/>
      <w:r>
        <w:t>previously</w:t>
      </w:r>
      <w:proofErr w:type="spellEnd"/>
      <w:r>
        <w:t xml:space="preserve"> </w:t>
      </w:r>
      <w:proofErr w:type="spellStart"/>
      <w:r>
        <w:t>determined</w:t>
      </w:r>
      <w:proofErr w:type="spellEnd"/>
      <w:r>
        <w:t xml:space="preserve"> as </w:t>
      </w:r>
      <w:proofErr w:type="spellStart"/>
      <w:r>
        <w:t>equivalent</w:t>
      </w:r>
      <w:proofErr w:type="spellEnd"/>
      <w:r>
        <w:t xml:space="preserve"> </w:t>
      </w:r>
      <w:proofErr w:type="spellStart"/>
      <w:r>
        <w:t>courses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relevant</w:t>
      </w:r>
      <w:proofErr w:type="spellEnd"/>
      <w:r>
        <w:t xml:space="preserve"> </w:t>
      </w:r>
      <w:proofErr w:type="spellStart"/>
      <w:r>
        <w:t>unit</w:t>
      </w:r>
      <w:proofErr w:type="spellEnd"/>
      <w:r>
        <w:t xml:space="preserve"> </w:t>
      </w:r>
      <w:proofErr w:type="spellStart"/>
      <w:r>
        <w:t>administrative</w:t>
      </w:r>
      <w:proofErr w:type="spellEnd"/>
      <w:r>
        <w:t xml:space="preserve"> board </w:t>
      </w:r>
      <w:proofErr w:type="spellStart"/>
      <w:r>
        <w:t>and</w:t>
      </w:r>
      <w:proofErr w:type="spellEnd"/>
      <w:r>
        <w:t xml:space="preserve"> be </w:t>
      </w:r>
      <w:proofErr w:type="spellStart"/>
      <w:r>
        <w:t>successful</w:t>
      </w:r>
      <w:proofErr w:type="spellEnd"/>
      <w:r>
        <w:t>.</w:t>
      </w:r>
    </w:p>
    <w:p w14:paraId="289CB542" w14:textId="64E1E557" w:rsidR="00633B11" w:rsidRDefault="00DB4ACC">
      <w:pPr>
        <w:pStyle w:val="P68B1DB1-ListParagraph2"/>
        <w:numPr>
          <w:ilvl w:val="0"/>
          <w:numId w:val="3"/>
        </w:numPr>
        <w:tabs>
          <w:tab w:val="left" w:pos="679"/>
        </w:tabs>
        <w:spacing w:line="276" w:lineRule="auto"/>
        <w:ind w:firstLine="0"/>
        <w:jc w:val="both"/>
      </w:pPr>
      <w:proofErr w:type="spellStart"/>
      <w:r>
        <w:t>F</w:t>
      </w:r>
      <w:r w:rsidR="009B30DB">
        <w:t>or</w:t>
      </w:r>
      <w:proofErr w:type="spellEnd"/>
      <w:r w:rsidR="009B30DB">
        <w:t xml:space="preserve"> </w:t>
      </w:r>
      <w:proofErr w:type="spellStart"/>
      <w:r w:rsidR="009B30DB">
        <w:t>the</w:t>
      </w:r>
      <w:proofErr w:type="spellEnd"/>
      <w:r w:rsidR="009B30DB">
        <w:t xml:space="preserve"> </w:t>
      </w:r>
      <w:proofErr w:type="spellStart"/>
      <w:r w:rsidR="009B30DB">
        <w:t>work</w:t>
      </w:r>
      <w:proofErr w:type="spellEnd"/>
      <w:r w:rsidR="009B30DB">
        <w:t xml:space="preserve"> </w:t>
      </w:r>
      <w:proofErr w:type="gramStart"/>
      <w:r w:rsidR="009B30DB">
        <w:t>done</w:t>
      </w:r>
      <w:proofErr w:type="gramEnd"/>
      <w:r w:rsidR="009B30DB">
        <w:t xml:space="preserve"> </w:t>
      </w:r>
      <w:proofErr w:type="spellStart"/>
      <w:r w:rsidR="009B30DB">
        <w:t>by</w:t>
      </w:r>
      <w:proofErr w:type="spellEnd"/>
      <w:r w:rsidR="009B30DB">
        <w:t xml:space="preserve"> </w:t>
      </w:r>
      <w:proofErr w:type="spellStart"/>
      <w:r w:rsidR="009B30DB">
        <w:t>the</w:t>
      </w:r>
      <w:proofErr w:type="spellEnd"/>
      <w:r w:rsidR="009B30DB">
        <w:t xml:space="preserve"> </w:t>
      </w:r>
      <w:proofErr w:type="spellStart"/>
      <w:r w:rsidR="009B30DB">
        <w:t>students</w:t>
      </w:r>
      <w:proofErr w:type="spellEnd"/>
      <w:r w:rsidR="009B30DB">
        <w:t xml:space="preserve"> </w:t>
      </w:r>
      <w:proofErr w:type="spellStart"/>
      <w:r w:rsidR="009B30DB">
        <w:t>participating</w:t>
      </w:r>
      <w:proofErr w:type="spellEnd"/>
      <w:r w:rsidR="009B30DB">
        <w:t xml:space="preserve"> in </w:t>
      </w:r>
      <w:proofErr w:type="spellStart"/>
      <w:r w:rsidR="009B30DB">
        <w:t>the</w:t>
      </w:r>
      <w:proofErr w:type="spellEnd"/>
      <w:r w:rsidR="009B30DB">
        <w:t xml:space="preserve"> </w:t>
      </w:r>
      <w:proofErr w:type="spellStart"/>
      <w:r w:rsidR="00853849">
        <w:t>programme</w:t>
      </w:r>
      <w:proofErr w:type="spellEnd"/>
      <w:r w:rsidR="009B30DB">
        <w:t xml:space="preserve"> </w:t>
      </w:r>
      <w:proofErr w:type="spellStart"/>
      <w:r w:rsidR="009B30DB">
        <w:t>within</w:t>
      </w:r>
      <w:proofErr w:type="spellEnd"/>
      <w:r w:rsidR="009B30DB">
        <w:t xml:space="preserve"> </w:t>
      </w:r>
      <w:proofErr w:type="spellStart"/>
      <w:r w:rsidR="009B30DB">
        <w:t>the</w:t>
      </w:r>
      <w:proofErr w:type="spellEnd"/>
      <w:r w:rsidR="009B30DB">
        <w:t xml:space="preserve"> </w:t>
      </w:r>
      <w:proofErr w:type="spellStart"/>
      <w:r w:rsidR="009B30DB">
        <w:t>scope</w:t>
      </w:r>
      <w:proofErr w:type="spellEnd"/>
      <w:r w:rsidR="009B30DB">
        <w:t xml:space="preserve"> of </w:t>
      </w:r>
      <w:proofErr w:type="spellStart"/>
      <w:r w:rsidR="009B30DB">
        <w:t>the</w:t>
      </w:r>
      <w:proofErr w:type="spellEnd"/>
      <w:r w:rsidR="009B30DB">
        <w:t xml:space="preserve"> </w:t>
      </w:r>
      <w:proofErr w:type="spellStart"/>
      <w:r w:rsidR="009B30DB">
        <w:t>internship</w:t>
      </w:r>
      <w:proofErr w:type="spellEnd"/>
      <w:r w:rsidR="009B30DB">
        <w:t xml:space="preserve"> </w:t>
      </w:r>
      <w:proofErr w:type="spellStart"/>
      <w:r w:rsidR="009B30DB">
        <w:t>to</w:t>
      </w:r>
      <w:proofErr w:type="spellEnd"/>
      <w:r w:rsidR="009B30DB">
        <w:t xml:space="preserve"> be </w:t>
      </w:r>
      <w:proofErr w:type="spellStart"/>
      <w:r w:rsidR="009B30DB">
        <w:t>considered</w:t>
      </w:r>
      <w:proofErr w:type="spellEnd"/>
      <w:r w:rsidR="009B30DB">
        <w:t xml:space="preserve"> as </w:t>
      </w:r>
      <w:proofErr w:type="spellStart"/>
      <w:r w:rsidR="009B30DB">
        <w:t>fulfilling</w:t>
      </w:r>
      <w:proofErr w:type="spellEnd"/>
      <w:r w:rsidR="009B30DB">
        <w:t xml:space="preserve"> </w:t>
      </w:r>
      <w:proofErr w:type="spellStart"/>
      <w:r w:rsidR="009B30DB">
        <w:t>the</w:t>
      </w:r>
      <w:proofErr w:type="spellEnd"/>
      <w:r w:rsidR="009B30DB">
        <w:t xml:space="preserve"> </w:t>
      </w:r>
      <w:proofErr w:type="spellStart"/>
      <w:r w:rsidR="009B30DB">
        <w:t>official</w:t>
      </w:r>
      <w:proofErr w:type="spellEnd"/>
      <w:r w:rsidR="009B30DB">
        <w:t xml:space="preserve"> </w:t>
      </w:r>
      <w:proofErr w:type="spellStart"/>
      <w:r w:rsidR="009B30DB">
        <w:t>internship</w:t>
      </w:r>
      <w:proofErr w:type="spellEnd"/>
      <w:r w:rsidR="009B30DB">
        <w:t xml:space="preserve"> </w:t>
      </w:r>
      <w:proofErr w:type="spellStart"/>
      <w:r w:rsidR="009B30DB">
        <w:t>obligations</w:t>
      </w:r>
      <w:proofErr w:type="spellEnd"/>
      <w:r w:rsidR="009B30DB">
        <w:t xml:space="preserve">, a </w:t>
      </w:r>
      <w:proofErr w:type="spellStart"/>
      <w:r w:rsidR="009B30DB">
        <w:t>decision</w:t>
      </w:r>
      <w:proofErr w:type="spellEnd"/>
      <w:r w:rsidR="009B30DB">
        <w:t xml:space="preserve"> is </w:t>
      </w:r>
      <w:proofErr w:type="spellStart"/>
      <w:r w:rsidR="009B30DB">
        <w:t>taken</w:t>
      </w:r>
      <w:proofErr w:type="spellEnd"/>
      <w:r w:rsidR="009B30DB">
        <w:t xml:space="preserve"> </w:t>
      </w:r>
      <w:proofErr w:type="spellStart"/>
      <w:r w:rsidR="009B30DB">
        <w:t>by</w:t>
      </w:r>
      <w:proofErr w:type="spellEnd"/>
      <w:r w:rsidR="009B30DB">
        <w:t xml:space="preserve"> </w:t>
      </w:r>
      <w:proofErr w:type="spellStart"/>
      <w:r w:rsidR="009B30DB">
        <w:t>the</w:t>
      </w:r>
      <w:proofErr w:type="spellEnd"/>
      <w:r w:rsidR="009B30DB">
        <w:t xml:space="preserve"> </w:t>
      </w:r>
      <w:proofErr w:type="spellStart"/>
      <w:r w:rsidR="009B30DB">
        <w:t>relevant</w:t>
      </w:r>
      <w:proofErr w:type="spellEnd"/>
      <w:r w:rsidR="009B30DB">
        <w:t xml:space="preserve"> </w:t>
      </w:r>
      <w:proofErr w:type="spellStart"/>
      <w:r w:rsidR="009B30DB">
        <w:t>administrative</w:t>
      </w:r>
      <w:proofErr w:type="spellEnd"/>
      <w:r w:rsidR="009B30DB">
        <w:t xml:space="preserve"> board </w:t>
      </w:r>
      <w:proofErr w:type="spellStart"/>
      <w:r w:rsidR="009B30DB">
        <w:t>with</w:t>
      </w:r>
      <w:proofErr w:type="spellEnd"/>
      <w:r w:rsidR="009B30DB">
        <w:t xml:space="preserve"> </w:t>
      </w:r>
      <w:proofErr w:type="spellStart"/>
      <w:r w:rsidR="009B30DB">
        <w:t>the</w:t>
      </w:r>
      <w:proofErr w:type="spellEnd"/>
      <w:r w:rsidR="009B30DB">
        <w:t xml:space="preserve"> </w:t>
      </w:r>
      <w:proofErr w:type="spellStart"/>
      <w:r w:rsidR="009B30DB">
        <w:t>appropriate</w:t>
      </w:r>
      <w:proofErr w:type="spellEnd"/>
      <w:r w:rsidR="009B30DB">
        <w:t xml:space="preserve"> </w:t>
      </w:r>
      <w:proofErr w:type="spellStart"/>
      <w:r w:rsidR="009B30DB">
        <w:t>opinion</w:t>
      </w:r>
      <w:proofErr w:type="spellEnd"/>
      <w:r w:rsidR="009B30DB">
        <w:t xml:space="preserve"> of </w:t>
      </w:r>
      <w:proofErr w:type="spellStart"/>
      <w:r w:rsidR="009B30DB">
        <w:t>the</w:t>
      </w:r>
      <w:proofErr w:type="spellEnd"/>
      <w:r w:rsidR="009B30DB">
        <w:t xml:space="preserve"> </w:t>
      </w:r>
      <w:proofErr w:type="spellStart"/>
      <w:r w:rsidR="009B30DB">
        <w:t>relevant</w:t>
      </w:r>
      <w:proofErr w:type="spellEnd"/>
      <w:r w:rsidR="009B30DB">
        <w:t xml:space="preserve"> </w:t>
      </w:r>
      <w:proofErr w:type="spellStart"/>
      <w:r w:rsidR="009B30DB">
        <w:t>unit</w:t>
      </w:r>
      <w:proofErr w:type="spellEnd"/>
      <w:r w:rsidR="009B30DB">
        <w:t xml:space="preserve"> </w:t>
      </w:r>
      <w:proofErr w:type="spellStart"/>
      <w:r w:rsidR="009B30DB">
        <w:t>coordinator</w:t>
      </w:r>
      <w:proofErr w:type="spellEnd"/>
      <w:r w:rsidR="009B30DB">
        <w:t xml:space="preserve">. </w:t>
      </w:r>
      <w:proofErr w:type="spellStart"/>
      <w:r w:rsidR="009B30DB">
        <w:t>Internships</w:t>
      </w:r>
      <w:proofErr w:type="spellEnd"/>
      <w:r w:rsidR="009B30DB">
        <w:t xml:space="preserve"> of </w:t>
      </w:r>
      <w:proofErr w:type="spellStart"/>
      <w:r w:rsidR="009B30DB">
        <w:t>students</w:t>
      </w:r>
      <w:proofErr w:type="spellEnd"/>
      <w:r w:rsidR="009B30DB">
        <w:t xml:space="preserve"> </w:t>
      </w:r>
      <w:proofErr w:type="spellStart"/>
      <w:r w:rsidR="009B30DB">
        <w:t>who</w:t>
      </w:r>
      <w:proofErr w:type="spellEnd"/>
      <w:r w:rsidR="009B30DB">
        <w:t xml:space="preserve"> do </w:t>
      </w:r>
      <w:proofErr w:type="spellStart"/>
      <w:r w:rsidR="009B30DB">
        <w:t>compulsory</w:t>
      </w:r>
      <w:proofErr w:type="spellEnd"/>
      <w:r w:rsidR="009B30DB">
        <w:t xml:space="preserve"> </w:t>
      </w:r>
      <w:proofErr w:type="spellStart"/>
      <w:r w:rsidR="009B30DB">
        <w:t>internship</w:t>
      </w:r>
      <w:r>
        <w:t>s</w:t>
      </w:r>
      <w:proofErr w:type="spellEnd"/>
      <w:r w:rsidR="009B30DB">
        <w:t xml:space="preserve"> </w:t>
      </w:r>
      <w:proofErr w:type="spellStart"/>
      <w:r w:rsidR="009B30DB">
        <w:t>are</w:t>
      </w:r>
      <w:proofErr w:type="spellEnd"/>
      <w:r w:rsidR="009B30DB">
        <w:t xml:space="preserve"> </w:t>
      </w:r>
      <w:proofErr w:type="spellStart"/>
      <w:r w:rsidR="009B30DB">
        <w:t>credited</w:t>
      </w:r>
      <w:proofErr w:type="spellEnd"/>
      <w:r w:rsidR="009B30DB">
        <w:t xml:space="preserve"> </w:t>
      </w:r>
      <w:proofErr w:type="spellStart"/>
      <w:r w:rsidR="009B30DB">
        <w:t>with</w:t>
      </w:r>
      <w:proofErr w:type="spellEnd"/>
      <w:r w:rsidR="009B30DB">
        <w:t xml:space="preserve"> ECTS </w:t>
      </w:r>
      <w:proofErr w:type="spellStart"/>
      <w:r w:rsidR="009B30DB">
        <w:t>credits</w:t>
      </w:r>
      <w:proofErr w:type="spellEnd"/>
      <w:r w:rsidR="009B30DB">
        <w:t xml:space="preserve"> in </w:t>
      </w:r>
      <w:proofErr w:type="spellStart"/>
      <w:r w:rsidR="009B30DB">
        <w:t>line</w:t>
      </w:r>
      <w:proofErr w:type="spellEnd"/>
      <w:r w:rsidR="009B30DB">
        <w:t xml:space="preserve"> </w:t>
      </w:r>
      <w:proofErr w:type="spellStart"/>
      <w:r w:rsidR="009B30DB">
        <w:t>with</w:t>
      </w:r>
      <w:proofErr w:type="spellEnd"/>
      <w:r w:rsidR="009B30DB">
        <w:t xml:space="preserve"> </w:t>
      </w:r>
      <w:proofErr w:type="spellStart"/>
      <w:r w:rsidR="009B30DB">
        <w:t>the</w:t>
      </w:r>
      <w:proofErr w:type="spellEnd"/>
      <w:r w:rsidR="009B30DB">
        <w:t xml:space="preserve"> Bologna </w:t>
      </w:r>
      <w:proofErr w:type="spellStart"/>
      <w:r w:rsidR="009B30DB">
        <w:t>Criteria</w:t>
      </w:r>
      <w:proofErr w:type="spellEnd"/>
      <w:r w:rsidR="009B30DB">
        <w:t>.</w:t>
      </w:r>
    </w:p>
    <w:p w14:paraId="289CB543" w14:textId="73CA2D2C" w:rsidR="00633B11" w:rsidRDefault="009B30DB">
      <w:pPr>
        <w:pStyle w:val="P68B1DB1-ListParagraph2"/>
        <w:numPr>
          <w:ilvl w:val="0"/>
          <w:numId w:val="3"/>
        </w:numPr>
        <w:tabs>
          <w:tab w:val="left" w:pos="1434"/>
        </w:tabs>
        <w:spacing w:before="3" w:line="276" w:lineRule="auto"/>
        <w:ind w:right="121" w:firstLine="708"/>
        <w:jc w:val="both"/>
      </w:pPr>
      <w:proofErr w:type="spellStart"/>
      <w:r>
        <w:t>Students</w:t>
      </w:r>
      <w:proofErr w:type="spellEnd"/>
      <w:r>
        <w:t xml:space="preserve"> </w:t>
      </w:r>
      <w:proofErr w:type="spellStart"/>
      <w:r w:rsidR="00DB4ACC">
        <w:t>must</w:t>
      </w:r>
      <w:proofErr w:type="spellEnd"/>
      <w:r>
        <w:t xml:space="preserve"> </w:t>
      </w:r>
      <w:proofErr w:type="spellStart"/>
      <w:r>
        <w:t>complete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Erasmus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Survey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month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complete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internship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 </w:t>
      </w:r>
      <w:proofErr w:type="spellStart"/>
      <w:r>
        <w:t>abroad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return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>.</w:t>
      </w:r>
    </w:p>
    <w:p w14:paraId="289CB544" w14:textId="1AD96688" w:rsidR="00633B11" w:rsidRDefault="009B30DB">
      <w:pPr>
        <w:pStyle w:val="P68B1DB1-ListParagraph2"/>
        <w:numPr>
          <w:ilvl w:val="0"/>
          <w:numId w:val="3"/>
        </w:numPr>
        <w:tabs>
          <w:tab w:val="left" w:pos="1319"/>
        </w:tabs>
        <w:spacing w:before="1" w:line="278" w:lineRule="auto"/>
        <w:ind w:right="119" w:firstLine="708"/>
        <w:jc w:val="both"/>
      </w:pP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diploma </w:t>
      </w:r>
      <w:proofErr w:type="spellStart"/>
      <w:r>
        <w:t>supplements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given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participating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 w:rsidR="00853849">
        <w:t>programme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courses</w:t>
      </w:r>
      <w:proofErr w:type="spellEnd"/>
      <w:r>
        <w:t>/</w:t>
      </w:r>
      <w:proofErr w:type="spellStart"/>
      <w:r>
        <w:t>internship</w:t>
      </w:r>
      <w:proofErr w:type="spellEnd"/>
      <w:r>
        <w:t xml:space="preserve"> </w:t>
      </w:r>
      <w:proofErr w:type="spellStart"/>
      <w:r w:rsidR="00853849">
        <w:t>programme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taken</w:t>
      </w:r>
      <w:proofErr w:type="spellEnd"/>
      <w:r>
        <w:t xml:space="preserve"> </w:t>
      </w:r>
      <w:proofErr w:type="spellStart"/>
      <w:r>
        <w:t>abroad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indicated</w:t>
      </w:r>
      <w:proofErr w:type="spellEnd"/>
      <w:r>
        <w:t>.</w:t>
      </w:r>
    </w:p>
    <w:p w14:paraId="289CB545" w14:textId="77777777" w:rsidR="00633B11" w:rsidRDefault="00633B11">
      <w:pPr>
        <w:spacing w:line="278" w:lineRule="auto"/>
        <w:jc w:val="both"/>
        <w:rPr>
          <w:sz w:val="24"/>
        </w:rPr>
        <w:sectPr w:rsidR="00633B11">
          <w:pgSz w:w="11910" w:h="16840"/>
          <w:pgMar w:top="1320" w:right="1300" w:bottom="280" w:left="1300" w:header="708" w:footer="708" w:gutter="0"/>
          <w:cols w:space="708"/>
        </w:sectPr>
      </w:pPr>
    </w:p>
    <w:p w14:paraId="289CB546" w14:textId="4B8CC763" w:rsidR="00633B11" w:rsidRDefault="009B30DB" w:rsidP="00511AAF">
      <w:pPr>
        <w:pStyle w:val="Balk1"/>
        <w:spacing w:before="77"/>
        <w:jc w:val="center"/>
      </w:pPr>
      <w:r>
        <w:lastRenderedPageBreak/>
        <w:t xml:space="preserve">Grade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Credit</w:t>
      </w:r>
      <w:proofErr w:type="spellEnd"/>
      <w:r>
        <w:t xml:space="preserve"> </w:t>
      </w:r>
      <w:r w:rsidR="00511AAF">
        <w:t>T</w:t>
      </w:r>
      <w:r>
        <w:t>ransfer</w:t>
      </w:r>
    </w:p>
    <w:p w14:paraId="289CB547" w14:textId="165D6B6B" w:rsidR="00633B11" w:rsidRDefault="009B30DB">
      <w:pPr>
        <w:pStyle w:val="GvdeMetni"/>
        <w:spacing w:before="43" w:line="276" w:lineRule="auto"/>
        <w:ind w:right="115" w:firstLine="707"/>
      </w:pPr>
      <w:r>
        <w:rPr>
          <w:b/>
        </w:rPr>
        <w:t xml:space="preserve">ARTICLE 7 – </w:t>
      </w:r>
      <w:r>
        <w:t xml:space="preserve">(1)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participating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Erasmus</w:t>
      </w:r>
      <w:proofErr w:type="spellEnd"/>
      <w:r>
        <w:t xml:space="preserve"> </w:t>
      </w:r>
      <w:proofErr w:type="spellStart"/>
      <w:r>
        <w:t>exchange</w:t>
      </w:r>
      <w:proofErr w:type="spellEnd"/>
      <w:r>
        <w:t xml:space="preserve"> </w:t>
      </w:r>
      <w:proofErr w:type="spellStart"/>
      <w:r w:rsidR="00853849">
        <w:t>programme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bring</w:t>
      </w:r>
      <w:proofErr w:type="spellEnd"/>
      <w:r>
        <w:t xml:space="preserve"> </w:t>
      </w:r>
      <w:proofErr w:type="spellStart"/>
      <w:r>
        <w:t>transcripts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courses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took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end</w:t>
      </w:r>
      <w:proofErr w:type="spellEnd"/>
      <w:r>
        <w:t xml:space="preserve"> of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semester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 w:rsidR="00FD27D1">
        <w:t>U</w:t>
      </w:r>
      <w:r>
        <w:t>niversity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attend</w:t>
      </w:r>
      <w:proofErr w:type="spellEnd"/>
      <w:r>
        <w:t>. ECTS-</w:t>
      </w:r>
      <w:proofErr w:type="spellStart"/>
      <w:r>
        <w:t>Istanbul</w:t>
      </w:r>
      <w:proofErr w:type="spellEnd"/>
      <w:r>
        <w:t xml:space="preserve"> </w:t>
      </w:r>
      <w:proofErr w:type="spellStart"/>
      <w:r>
        <w:t>Medipol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credit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grade</w:t>
      </w:r>
      <w:proofErr w:type="spellEnd"/>
      <w:r>
        <w:t xml:space="preserve"> </w:t>
      </w:r>
      <w:proofErr w:type="spellStart"/>
      <w:r>
        <w:t>conversions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made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relevant</w:t>
      </w:r>
      <w:proofErr w:type="spellEnd"/>
      <w:r>
        <w:t xml:space="preserve"> </w:t>
      </w:r>
      <w:proofErr w:type="spellStart"/>
      <w:r>
        <w:t>unit</w:t>
      </w:r>
      <w:proofErr w:type="spellEnd"/>
      <w:r>
        <w:t xml:space="preserve"> </w:t>
      </w:r>
      <w:proofErr w:type="spellStart"/>
      <w:r>
        <w:t>administrative</w:t>
      </w:r>
      <w:proofErr w:type="spellEnd"/>
      <w:r>
        <w:t xml:space="preserve"> board, </w:t>
      </w:r>
      <w:proofErr w:type="spellStart"/>
      <w:r>
        <w:t>taking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account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values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conversion</w:t>
      </w:r>
      <w:proofErr w:type="spellEnd"/>
      <w:r>
        <w:t xml:space="preserve"> </w:t>
      </w:r>
      <w:proofErr w:type="spellStart"/>
      <w:r>
        <w:t>table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grades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 w:rsidR="001828D0">
        <w:t>Istanbul</w:t>
      </w:r>
      <w:proofErr w:type="spellEnd"/>
      <w:r w:rsidR="001828D0">
        <w:t xml:space="preserve"> </w:t>
      </w:r>
      <w:proofErr w:type="spellStart"/>
      <w:r w:rsidR="001828D0">
        <w:t>Medipol</w:t>
      </w:r>
      <w:proofErr w:type="spellEnd"/>
      <w:r w:rsidR="001828D0">
        <w:t xml:space="preserve"> </w:t>
      </w:r>
      <w:proofErr w:type="spellStart"/>
      <w:r w:rsidR="001828D0">
        <w:t>University</w:t>
      </w:r>
      <w:proofErr w:type="spellEnd"/>
      <w:r w:rsidR="001828D0">
        <w:t xml:space="preserve"> </w:t>
      </w:r>
      <w:proofErr w:type="spellStart"/>
      <w:r w:rsidR="001828D0">
        <w:t>Associate</w:t>
      </w:r>
      <w:proofErr w:type="spellEnd"/>
      <w:r w:rsidR="001828D0">
        <w:t xml:space="preserve"> </w:t>
      </w:r>
      <w:proofErr w:type="spellStart"/>
      <w:r w:rsidR="001828D0">
        <w:t>and</w:t>
      </w:r>
      <w:proofErr w:type="spellEnd"/>
      <w:r w:rsidR="001828D0">
        <w:t xml:space="preserve"> </w:t>
      </w:r>
      <w:proofErr w:type="spellStart"/>
      <w:r w:rsidR="001828D0">
        <w:t>Undergraduate</w:t>
      </w:r>
      <w:proofErr w:type="spellEnd"/>
      <w:r w:rsidR="001828D0">
        <w:t xml:space="preserve"> </w:t>
      </w:r>
      <w:proofErr w:type="spellStart"/>
      <w:r w:rsidR="001828D0">
        <w:t>Education</w:t>
      </w:r>
      <w:proofErr w:type="spellEnd"/>
      <w:r w:rsidR="001828D0">
        <w:t xml:space="preserve"> </w:t>
      </w:r>
      <w:proofErr w:type="spellStart"/>
      <w:r w:rsidR="001828D0">
        <w:t>Regulations</w:t>
      </w:r>
      <w:proofErr w:type="spellEnd"/>
      <w:r w:rsidR="00EB4549">
        <w:t xml:space="preserve"> </w:t>
      </w:r>
      <w:r>
        <w:t xml:space="preserve">of </w:t>
      </w:r>
      <w:proofErr w:type="spellStart"/>
      <w:r>
        <w:t>our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Postgraduate</w:t>
      </w:r>
      <w:proofErr w:type="spellEnd"/>
      <w:r>
        <w:t xml:space="preserve"> </w:t>
      </w:r>
      <w:proofErr w:type="spellStart"/>
      <w:proofErr w:type="gramStart"/>
      <w:r>
        <w:t>Education</w:t>
      </w:r>
      <w:proofErr w:type="spellEnd"/>
      <w:r>
        <w:t xml:space="preserve">  </w:t>
      </w:r>
      <w:proofErr w:type="spellStart"/>
      <w:r>
        <w:t>Regulations</w:t>
      </w:r>
      <w:proofErr w:type="spellEnd"/>
      <w:proofErr w:type="gramEnd"/>
      <w:r>
        <w:t>.</w:t>
      </w:r>
    </w:p>
    <w:p w14:paraId="289CB548" w14:textId="5AD464B8" w:rsidR="00633B11" w:rsidRDefault="009B30DB">
      <w:pPr>
        <w:pStyle w:val="GvdeMetni"/>
        <w:spacing w:before="1" w:line="276" w:lineRule="auto"/>
        <w:ind w:right="117" w:firstLine="707"/>
      </w:pPr>
      <w:r>
        <w:t xml:space="preserve">(2)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universities</w:t>
      </w:r>
      <w:proofErr w:type="spellEnd"/>
      <w:r>
        <w:t xml:space="preserve"> </w:t>
      </w:r>
      <w:proofErr w:type="spellStart"/>
      <w:r>
        <w:t>abroad</w:t>
      </w:r>
      <w:proofErr w:type="spellEnd"/>
      <w:r>
        <w:t xml:space="preserve"> do not </w:t>
      </w:r>
      <w:proofErr w:type="spellStart"/>
      <w:r>
        <w:t>give</w:t>
      </w:r>
      <w:proofErr w:type="spellEnd"/>
      <w:r>
        <w:t xml:space="preserve"> an ECTS </w:t>
      </w:r>
      <w:proofErr w:type="spellStart"/>
      <w:r>
        <w:t>grade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phrase</w:t>
      </w:r>
      <w:proofErr w:type="spellEnd"/>
      <w:r>
        <w:t xml:space="preserve"> </w:t>
      </w:r>
      <w:r w:rsidR="00DB4ACC">
        <w:t>“</w:t>
      </w:r>
      <w:r>
        <w:t>PASS</w:t>
      </w:r>
      <w:r w:rsidR="00DB4ACC">
        <w:t>”</w:t>
      </w:r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means</w:t>
      </w:r>
      <w:proofErr w:type="spellEnd"/>
      <w:r>
        <w:t xml:space="preserve"> </w:t>
      </w:r>
      <w:r w:rsidR="00DB4ACC">
        <w:t>“</w:t>
      </w:r>
      <w:r>
        <w:t>PASSED</w:t>
      </w:r>
      <w:r w:rsidR="00DB4ACC">
        <w:t>”</w:t>
      </w:r>
      <w:r>
        <w:t xml:space="preserve">. </w:t>
      </w:r>
      <w:r w:rsidR="00DB4ACC">
        <w:t>“</w:t>
      </w:r>
      <w:proofErr w:type="spellStart"/>
      <w:r>
        <w:t>Pass</w:t>
      </w:r>
      <w:proofErr w:type="spellEnd"/>
      <w:r>
        <w:t xml:space="preserve"> </w:t>
      </w:r>
      <w:proofErr w:type="spellStart"/>
      <w:r>
        <w:t>expression</w:t>
      </w:r>
      <w:proofErr w:type="spellEnd"/>
      <w:r w:rsidR="00DB4ACC">
        <w:t>”</w:t>
      </w:r>
      <w:r>
        <w:t xml:space="preserve"> is </w:t>
      </w:r>
      <w:proofErr w:type="spellStart"/>
      <w:r>
        <w:t>accepted</w:t>
      </w:r>
      <w:proofErr w:type="spellEnd"/>
      <w:r>
        <w:t xml:space="preserve"> as (80/100) </w:t>
      </w:r>
      <w:proofErr w:type="spellStart"/>
      <w:r>
        <w:t>for</w:t>
      </w:r>
      <w:proofErr w:type="spellEnd"/>
      <w:r>
        <w:t xml:space="preserve"> </w:t>
      </w:r>
      <w:proofErr w:type="spellStart"/>
      <w:r>
        <w:t>undergraduate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(85/100) </w:t>
      </w:r>
      <w:proofErr w:type="spellStart"/>
      <w:r>
        <w:t>for</w:t>
      </w:r>
      <w:proofErr w:type="spellEnd"/>
      <w:r>
        <w:t xml:space="preserve"> </w:t>
      </w:r>
      <w:proofErr w:type="spellStart"/>
      <w:r>
        <w:t>graduate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in </w:t>
      </w:r>
      <w:proofErr w:type="spellStart"/>
      <w:r>
        <w:t>grade</w:t>
      </w:r>
      <w:proofErr w:type="spellEnd"/>
      <w:r>
        <w:t xml:space="preserve"> </w:t>
      </w:r>
      <w:proofErr w:type="spellStart"/>
      <w:r>
        <w:t>conversion</w:t>
      </w:r>
      <w:proofErr w:type="spellEnd"/>
      <w:r>
        <w:t>.</w:t>
      </w:r>
    </w:p>
    <w:p w14:paraId="289CB549" w14:textId="77777777" w:rsidR="00633B11" w:rsidRDefault="00633B11">
      <w:pPr>
        <w:pStyle w:val="GvdeMetni"/>
        <w:spacing w:before="8"/>
        <w:ind w:left="0" w:firstLine="0"/>
        <w:jc w:val="left"/>
        <w:rPr>
          <w:sz w:val="27"/>
        </w:rPr>
      </w:pPr>
    </w:p>
    <w:p w14:paraId="289CB54A" w14:textId="77777777" w:rsidR="00633B11" w:rsidRDefault="009B30DB">
      <w:pPr>
        <w:pStyle w:val="GvdeMetni"/>
        <w:ind w:firstLine="0"/>
        <w:jc w:val="left"/>
      </w:pPr>
      <w:r>
        <w:t xml:space="preserve">Grade Conversion </w:t>
      </w:r>
      <w:proofErr w:type="spellStart"/>
      <w:r>
        <w:t>Table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Outgoing</w:t>
      </w:r>
      <w:proofErr w:type="spellEnd"/>
      <w:r>
        <w:t xml:space="preserve"> </w:t>
      </w:r>
      <w:proofErr w:type="spellStart"/>
      <w:r>
        <w:t>Undergraduate</w:t>
      </w:r>
      <w:proofErr w:type="spellEnd"/>
      <w:r>
        <w:t xml:space="preserve"> </w:t>
      </w:r>
      <w:proofErr w:type="spellStart"/>
      <w:r>
        <w:t>Erasmus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Istanbul</w:t>
      </w:r>
      <w:proofErr w:type="spellEnd"/>
      <w:r>
        <w:t xml:space="preserve"> </w:t>
      </w:r>
      <w:proofErr w:type="spellStart"/>
      <w:r>
        <w:t>Medipol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>:</w:t>
      </w:r>
    </w:p>
    <w:p w14:paraId="289CB54B" w14:textId="77777777" w:rsidR="00633B11" w:rsidRDefault="00633B11">
      <w:pPr>
        <w:pStyle w:val="GvdeMetni"/>
        <w:spacing w:before="4"/>
        <w:ind w:left="0" w:firstLine="0"/>
        <w:jc w:val="left"/>
        <w:rPr>
          <w:sz w:val="17"/>
        </w:rPr>
      </w:pPr>
    </w:p>
    <w:tbl>
      <w:tblPr>
        <w:tblStyle w:val="TableNormal"/>
        <w:tblW w:w="0" w:type="auto"/>
        <w:tblInd w:w="8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2"/>
        <w:gridCol w:w="1304"/>
        <w:gridCol w:w="1676"/>
        <w:gridCol w:w="1985"/>
        <w:gridCol w:w="1292"/>
      </w:tblGrid>
      <w:tr w:rsidR="00633B11" w14:paraId="289CB54E" w14:textId="77777777">
        <w:trPr>
          <w:trHeight w:val="260"/>
        </w:trPr>
        <w:tc>
          <w:tcPr>
            <w:tcW w:w="1382" w:type="dxa"/>
          </w:tcPr>
          <w:p w14:paraId="289CB54C" w14:textId="77777777" w:rsidR="00633B11" w:rsidRDefault="00633B1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256" w:type="dxa"/>
            <w:gridSpan w:val="4"/>
          </w:tcPr>
          <w:p w14:paraId="289CB54D" w14:textId="77777777" w:rsidR="00633B11" w:rsidRDefault="009B30DB">
            <w:pPr>
              <w:pStyle w:val="P68B1DB1-TableParagraph3"/>
              <w:spacing w:before="1" w:line="257" w:lineRule="exact"/>
              <w:ind w:left="511"/>
            </w:pPr>
            <w:proofErr w:type="spellStart"/>
            <w:r>
              <w:t>Istanbul</w:t>
            </w:r>
            <w:proofErr w:type="spellEnd"/>
            <w:r>
              <w:t xml:space="preserve"> </w:t>
            </w:r>
            <w:proofErr w:type="spellStart"/>
            <w:r>
              <w:t>Medipol</w:t>
            </w:r>
            <w:proofErr w:type="spellEnd"/>
            <w:r>
              <w:t xml:space="preserve"> </w:t>
            </w:r>
            <w:proofErr w:type="spellStart"/>
            <w:r>
              <w:t>University</w:t>
            </w:r>
            <w:proofErr w:type="spellEnd"/>
            <w:r>
              <w:t xml:space="preserve"> </w:t>
            </w:r>
            <w:proofErr w:type="spellStart"/>
            <w:r>
              <w:t>Grading</w:t>
            </w:r>
            <w:proofErr w:type="spellEnd"/>
            <w:r>
              <w:t xml:space="preserve"> </w:t>
            </w:r>
            <w:proofErr w:type="spellStart"/>
            <w:r>
              <w:t>System</w:t>
            </w:r>
            <w:proofErr w:type="spellEnd"/>
          </w:p>
        </w:tc>
      </w:tr>
      <w:tr w:rsidR="00633B11" w14:paraId="289CB555" w14:textId="77777777">
        <w:trPr>
          <w:trHeight w:val="540"/>
        </w:trPr>
        <w:tc>
          <w:tcPr>
            <w:tcW w:w="1382" w:type="dxa"/>
          </w:tcPr>
          <w:p w14:paraId="289CB54F" w14:textId="77777777" w:rsidR="00633B11" w:rsidRDefault="009B30DB">
            <w:pPr>
              <w:pStyle w:val="P68B1DB1-TableParagraph3"/>
              <w:spacing w:line="275" w:lineRule="exact"/>
              <w:ind w:left="103"/>
            </w:pPr>
            <w:r>
              <w:t>ECTS</w:t>
            </w:r>
          </w:p>
          <w:p w14:paraId="289CB550" w14:textId="77777777" w:rsidR="00633B11" w:rsidRDefault="009B30DB">
            <w:pPr>
              <w:pStyle w:val="P68B1DB1-TableParagraph3"/>
              <w:spacing w:line="257" w:lineRule="exact"/>
              <w:ind w:left="103"/>
            </w:pPr>
            <w:r>
              <w:t>Grade</w:t>
            </w:r>
          </w:p>
        </w:tc>
        <w:tc>
          <w:tcPr>
            <w:tcW w:w="1304" w:type="dxa"/>
          </w:tcPr>
          <w:p w14:paraId="289CB551" w14:textId="77777777" w:rsidR="00633B11" w:rsidRDefault="009B30DB">
            <w:pPr>
              <w:pStyle w:val="P68B1DB1-TableParagraph3"/>
              <w:spacing w:line="275" w:lineRule="exact"/>
              <w:ind w:left="105"/>
            </w:pPr>
            <w:proofErr w:type="spellStart"/>
            <w:r>
              <w:t>Scores</w:t>
            </w:r>
            <w:proofErr w:type="spellEnd"/>
          </w:p>
        </w:tc>
        <w:tc>
          <w:tcPr>
            <w:tcW w:w="1676" w:type="dxa"/>
          </w:tcPr>
          <w:p w14:paraId="289CB552" w14:textId="77777777" w:rsidR="00633B11" w:rsidRDefault="009B30DB">
            <w:pPr>
              <w:pStyle w:val="P68B1DB1-TableParagraph3"/>
              <w:spacing w:before="2" w:line="276" w:lineRule="exact"/>
              <w:ind w:left="103" w:right="595"/>
            </w:pPr>
            <w:proofErr w:type="spellStart"/>
            <w:r>
              <w:t>Success</w:t>
            </w:r>
            <w:proofErr w:type="spellEnd"/>
            <w:r>
              <w:t xml:space="preserve"> </w:t>
            </w:r>
            <w:proofErr w:type="spellStart"/>
            <w:r>
              <w:t>Coefficient</w:t>
            </w:r>
            <w:proofErr w:type="spellEnd"/>
          </w:p>
        </w:tc>
        <w:tc>
          <w:tcPr>
            <w:tcW w:w="1985" w:type="dxa"/>
          </w:tcPr>
          <w:p w14:paraId="289CB553" w14:textId="77777777" w:rsidR="00633B11" w:rsidRDefault="009B30DB">
            <w:pPr>
              <w:pStyle w:val="P68B1DB1-TableParagraph3"/>
              <w:tabs>
                <w:tab w:val="left" w:pos="1206"/>
              </w:tabs>
              <w:spacing w:before="2" w:line="276" w:lineRule="exact"/>
              <w:ind w:right="99"/>
            </w:pPr>
            <w:proofErr w:type="spellStart"/>
            <w:r>
              <w:t>Letter</w:t>
            </w:r>
            <w:proofErr w:type="spellEnd"/>
            <w:r>
              <w:t xml:space="preserve"> </w:t>
            </w:r>
            <w:proofErr w:type="spellStart"/>
            <w:r>
              <w:t>Success</w:t>
            </w:r>
            <w:proofErr w:type="spellEnd"/>
            <w:r>
              <w:t xml:space="preserve"> Grade</w:t>
            </w:r>
          </w:p>
        </w:tc>
        <w:tc>
          <w:tcPr>
            <w:tcW w:w="1292" w:type="dxa"/>
          </w:tcPr>
          <w:p w14:paraId="289CB554" w14:textId="77777777" w:rsidR="00633B11" w:rsidRDefault="009B30DB">
            <w:pPr>
              <w:pStyle w:val="P68B1DB1-TableParagraph3"/>
              <w:spacing w:line="275" w:lineRule="exact"/>
            </w:pPr>
            <w:proofErr w:type="spellStart"/>
            <w:r>
              <w:t>Degree</w:t>
            </w:r>
            <w:proofErr w:type="spellEnd"/>
          </w:p>
        </w:tc>
      </w:tr>
      <w:tr w:rsidR="00633B11" w14:paraId="289CB55C" w14:textId="77777777">
        <w:trPr>
          <w:trHeight w:val="277"/>
        </w:trPr>
        <w:tc>
          <w:tcPr>
            <w:tcW w:w="1382" w:type="dxa"/>
            <w:vMerge w:val="restart"/>
          </w:tcPr>
          <w:p w14:paraId="289CB556" w14:textId="77777777" w:rsidR="00633B11" w:rsidRDefault="00633B11">
            <w:pPr>
              <w:pStyle w:val="TableParagraph"/>
              <w:spacing w:before="7" w:line="240" w:lineRule="auto"/>
              <w:ind w:left="0"/>
              <w:rPr>
                <w:sz w:val="23"/>
              </w:rPr>
            </w:pPr>
          </w:p>
          <w:p w14:paraId="289CB557" w14:textId="77777777" w:rsidR="00633B11" w:rsidRDefault="009B30DB">
            <w:pPr>
              <w:pStyle w:val="P68B1DB1-TableParagraph4"/>
              <w:spacing w:line="240" w:lineRule="auto"/>
              <w:ind w:left="103"/>
            </w:pPr>
            <w:r>
              <w:t>A</w:t>
            </w:r>
          </w:p>
        </w:tc>
        <w:tc>
          <w:tcPr>
            <w:tcW w:w="1304" w:type="dxa"/>
          </w:tcPr>
          <w:p w14:paraId="289CB558" w14:textId="77777777" w:rsidR="00633B11" w:rsidRDefault="009B30DB">
            <w:pPr>
              <w:pStyle w:val="P68B1DB1-TableParagraph4"/>
              <w:spacing w:line="272" w:lineRule="exact"/>
              <w:ind w:left="105"/>
            </w:pPr>
            <w:proofErr w:type="gramStart"/>
            <w:r>
              <w:t>95 -</w:t>
            </w:r>
            <w:proofErr w:type="gramEnd"/>
            <w:r>
              <w:t xml:space="preserve"> 100</w:t>
            </w:r>
          </w:p>
        </w:tc>
        <w:tc>
          <w:tcPr>
            <w:tcW w:w="1676" w:type="dxa"/>
          </w:tcPr>
          <w:p w14:paraId="289CB559" w14:textId="77777777" w:rsidR="00633B11" w:rsidRDefault="009B30DB">
            <w:pPr>
              <w:pStyle w:val="P68B1DB1-TableParagraph4"/>
              <w:spacing w:line="272" w:lineRule="exact"/>
              <w:ind w:left="103"/>
            </w:pPr>
            <w:r>
              <w:t>3,77-4,0</w:t>
            </w:r>
          </w:p>
        </w:tc>
        <w:tc>
          <w:tcPr>
            <w:tcW w:w="1985" w:type="dxa"/>
          </w:tcPr>
          <w:p w14:paraId="289CB55A" w14:textId="77777777" w:rsidR="00633B11" w:rsidRDefault="009B30DB">
            <w:pPr>
              <w:pStyle w:val="P68B1DB1-TableParagraph4"/>
              <w:spacing w:line="272" w:lineRule="exact"/>
            </w:pPr>
            <w:r>
              <w:t>A</w:t>
            </w:r>
          </w:p>
        </w:tc>
        <w:tc>
          <w:tcPr>
            <w:tcW w:w="1292" w:type="dxa"/>
          </w:tcPr>
          <w:p w14:paraId="289CB55B" w14:textId="77777777" w:rsidR="00633B11" w:rsidRDefault="009B30DB">
            <w:pPr>
              <w:pStyle w:val="P68B1DB1-TableParagraph4"/>
              <w:spacing w:line="272" w:lineRule="exact"/>
            </w:pPr>
            <w:proofErr w:type="spellStart"/>
            <w:r>
              <w:t>Very</w:t>
            </w:r>
            <w:proofErr w:type="spellEnd"/>
            <w:r>
              <w:t xml:space="preserve"> </w:t>
            </w:r>
            <w:proofErr w:type="spellStart"/>
            <w:r>
              <w:t>Good</w:t>
            </w:r>
            <w:proofErr w:type="spellEnd"/>
          </w:p>
        </w:tc>
      </w:tr>
      <w:tr w:rsidR="00633B11" w14:paraId="289CB562" w14:textId="77777777">
        <w:trPr>
          <w:trHeight w:val="260"/>
        </w:trPr>
        <w:tc>
          <w:tcPr>
            <w:tcW w:w="1382" w:type="dxa"/>
            <w:vMerge/>
            <w:tcBorders>
              <w:top w:val="nil"/>
            </w:tcBorders>
          </w:tcPr>
          <w:p w14:paraId="289CB55D" w14:textId="77777777" w:rsidR="00633B11" w:rsidRDefault="00633B11">
            <w:pPr>
              <w:rPr>
                <w:sz w:val="2"/>
              </w:rPr>
            </w:pPr>
          </w:p>
        </w:tc>
        <w:tc>
          <w:tcPr>
            <w:tcW w:w="1304" w:type="dxa"/>
          </w:tcPr>
          <w:p w14:paraId="289CB55E" w14:textId="77777777" w:rsidR="00633B11" w:rsidRDefault="009B30DB">
            <w:pPr>
              <w:pStyle w:val="P68B1DB1-TableParagraph4"/>
              <w:ind w:left="105"/>
            </w:pPr>
            <w:r>
              <w:t>90-94</w:t>
            </w:r>
          </w:p>
        </w:tc>
        <w:tc>
          <w:tcPr>
            <w:tcW w:w="1676" w:type="dxa"/>
          </w:tcPr>
          <w:p w14:paraId="289CB55F" w14:textId="77777777" w:rsidR="00633B11" w:rsidRDefault="009B30DB">
            <w:pPr>
              <w:pStyle w:val="P68B1DB1-TableParagraph4"/>
              <w:ind w:left="103"/>
            </w:pPr>
            <w:r>
              <w:t>3,55-3,76</w:t>
            </w:r>
          </w:p>
        </w:tc>
        <w:tc>
          <w:tcPr>
            <w:tcW w:w="1985" w:type="dxa"/>
          </w:tcPr>
          <w:p w14:paraId="289CB560" w14:textId="77777777" w:rsidR="00633B11" w:rsidRDefault="009B30DB">
            <w:pPr>
              <w:pStyle w:val="P68B1DB1-TableParagraph4"/>
            </w:pPr>
            <w:r>
              <w:t>A-</w:t>
            </w:r>
          </w:p>
        </w:tc>
        <w:tc>
          <w:tcPr>
            <w:tcW w:w="1292" w:type="dxa"/>
          </w:tcPr>
          <w:p w14:paraId="289CB561" w14:textId="77777777" w:rsidR="00633B11" w:rsidRDefault="009B30DB">
            <w:pPr>
              <w:pStyle w:val="P68B1DB1-TableParagraph4"/>
            </w:pPr>
            <w:proofErr w:type="spellStart"/>
            <w:r>
              <w:t>Very</w:t>
            </w:r>
            <w:proofErr w:type="spellEnd"/>
            <w:r>
              <w:t xml:space="preserve"> </w:t>
            </w:r>
            <w:proofErr w:type="spellStart"/>
            <w:r>
              <w:t>Good</w:t>
            </w:r>
            <w:proofErr w:type="spellEnd"/>
          </w:p>
        </w:tc>
      </w:tr>
      <w:tr w:rsidR="00633B11" w14:paraId="289CB568" w14:textId="77777777">
        <w:trPr>
          <w:trHeight w:val="260"/>
        </w:trPr>
        <w:tc>
          <w:tcPr>
            <w:tcW w:w="1382" w:type="dxa"/>
            <w:vMerge/>
            <w:tcBorders>
              <w:top w:val="nil"/>
            </w:tcBorders>
          </w:tcPr>
          <w:p w14:paraId="289CB563" w14:textId="77777777" w:rsidR="00633B11" w:rsidRDefault="00633B11">
            <w:pPr>
              <w:rPr>
                <w:sz w:val="2"/>
              </w:rPr>
            </w:pPr>
          </w:p>
        </w:tc>
        <w:tc>
          <w:tcPr>
            <w:tcW w:w="1304" w:type="dxa"/>
          </w:tcPr>
          <w:p w14:paraId="289CB564" w14:textId="77777777" w:rsidR="00633B11" w:rsidRDefault="009B30DB">
            <w:pPr>
              <w:pStyle w:val="P68B1DB1-TableParagraph4"/>
              <w:ind w:left="105"/>
            </w:pPr>
            <w:r>
              <w:t>85-89</w:t>
            </w:r>
          </w:p>
        </w:tc>
        <w:tc>
          <w:tcPr>
            <w:tcW w:w="1676" w:type="dxa"/>
          </w:tcPr>
          <w:p w14:paraId="289CB565" w14:textId="77777777" w:rsidR="00633B11" w:rsidRDefault="009B30DB">
            <w:pPr>
              <w:pStyle w:val="P68B1DB1-TableParagraph4"/>
              <w:ind w:left="103"/>
            </w:pPr>
            <w:r>
              <w:t>3,34-3,54</w:t>
            </w:r>
          </w:p>
        </w:tc>
        <w:tc>
          <w:tcPr>
            <w:tcW w:w="1985" w:type="dxa"/>
          </w:tcPr>
          <w:p w14:paraId="289CB566" w14:textId="77777777" w:rsidR="00633B11" w:rsidRDefault="009B30DB">
            <w:pPr>
              <w:pStyle w:val="P68B1DB1-TableParagraph4"/>
            </w:pPr>
            <w:r>
              <w:t>B+</w:t>
            </w:r>
          </w:p>
        </w:tc>
        <w:tc>
          <w:tcPr>
            <w:tcW w:w="1292" w:type="dxa"/>
          </w:tcPr>
          <w:p w14:paraId="289CB567" w14:textId="77777777" w:rsidR="00633B11" w:rsidRDefault="009B30DB">
            <w:pPr>
              <w:pStyle w:val="P68B1DB1-TableParagraph4"/>
            </w:pPr>
            <w:proofErr w:type="spellStart"/>
            <w:r>
              <w:t>Very</w:t>
            </w:r>
            <w:proofErr w:type="spellEnd"/>
            <w:r>
              <w:t xml:space="preserve"> </w:t>
            </w:r>
            <w:proofErr w:type="spellStart"/>
            <w:r>
              <w:t>Good</w:t>
            </w:r>
            <w:proofErr w:type="spellEnd"/>
          </w:p>
        </w:tc>
      </w:tr>
      <w:tr w:rsidR="00633B11" w14:paraId="289CB56E" w14:textId="77777777">
        <w:trPr>
          <w:trHeight w:val="260"/>
        </w:trPr>
        <w:tc>
          <w:tcPr>
            <w:tcW w:w="1382" w:type="dxa"/>
          </w:tcPr>
          <w:p w14:paraId="289CB569" w14:textId="77777777" w:rsidR="00633B11" w:rsidRDefault="009B30DB">
            <w:pPr>
              <w:pStyle w:val="P68B1DB1-TableParagraph4"/>
              <w:ind w:left="103"/>
            </w:pPr>
            <w:r>
              <w:t>B</w:t>
            </w:r>
          </w:p>
        </w:tc>
        <w:tc>
          <w:tcPr>
            <w:tcW w:w="1304" w:type="dxa"/>
          </w:tcPr>
          <w:p w14:paraId="289CB56A" w14:textId="77777777" w:rsidR="00633B11" w:rsidRDefault="009B30DB">
            <w:pPr>
              <w:pStyle w:val="P68B1DB1-TableParagraph4"/>
              <w:ind w:left="105"/>
            </w:pPr>
            <w:r>
              <w:t>80-84</w:t>
            </w:r>
          </w:p>
        </w:tc>
        <w:tc>
          <w:tcPr>
            <w:tcW w:w="1676" w:type="dxa"/>
          </w:tcPr>
          <w:p w14:paraId="289CB56B" w14:textId="77777777" w:rsidR="00633B11" w:rsidRDefault="009B30DB">
            <w:pPr>
              <w:pStyle w:val="P68B1DB1-TableParagraph4"/>
              <w:ind w:left="103"/>
            </w:pPr>
            <w:r>
              <w:t>3,13-3,33</w:t>
            </w:r>
          </w:p>
        </w:tc>
        <w:tc>
          <w:tcPr>
            <w:tcW w:w="1985" w:type="dxa"/>
          </w:tcPr>
          <w:p w14:paraId="289CB56C" w14:textId="77777777" w:rsidR="00633B11" w:rsidRDefault="009B30DB">
            <w:pPr>
              <w:pStyle w:val="P68B1DB1-TableParagraph4"/>
            </w:pPr>
            <w:r>
              <w:t>B</w:t>
            </w:r>
          </w:p>
        </w:tc>
        <w:tc>
          <w:tcPr>
            <w:tcW w:w="1292" w:type="dxa"/>
          </w:tcPr>
          <w:p w14:paraId="289CB56D" w14:textId="77777777" w:rsidR="00633B11" w:rsidRDefault="009B30DB">
            <w:pPr>
              <w:pStyle w:val="P68B1DB1-TableParagraph4"/>
            </w:pPr>
            <w:proofErr w:type="spellStart"/>
            <w:r>
              <w:t>Good</w:t>
            </w:r>
            <w:proofErr w:type="spellEnd"/>
          </w:p>
        </w:tc>
      </w:tr>
      <w:tr w:rsidR="00633B11" w14:paraId="289CB574" w14:textId="77777777">
        <w:trPr>
          <w:trHeight w:val="260"/>
        </w:trPr>
        <w:tc>
          <w:tcPr>
            <w:tcW w:w="1382" w:type="dxa"/>
            <w:vMerge w:val="restart"/>
          </w:tcPr>
          <w:p w14:paraId="289CB56F" w14:textId="77777777" w:rsidR="00633B11" w:rsidRDefault="009B30DB">
            <w:pPr>
              <w:pStyle w:val="P68B1DB1-TableParagraph4"/>
              <w:spacing w:line="275" w:lineRule="exact"/>
              <w:ind w:left="103"/>
            </w:pPr>
            <w:r>
              <w:t>C</w:t>
            </w:r>
          </w:p>
        </w:tc>
        <w:tc>
          <w:tcPr>
            <w:tcW w:w="1304" w:type="dxa"/>
          </w:tcPr>
          <w:p w14:paraId="289CB570" w14:textId="77777777" w:rsidR="00633B11" w:rsidRDefault="009B30DB">
            <w:pPr>
              <w:pStyle w:val="P68B1DB1-TableParagraph4"/>
              <w:ind w:left="105"/>
            </w:pPr>
            <w:r>
              <w:t>75-79</w:t>
            </w:r>
          </w:p>
        </w:tc>
        <w:tc>
          <w:tcPr>
            <w:tcW w:w="1676" w:type="dxa"/>
          </w:tcPr>
          <w:p w14:paraId="289CB571" w14:textId="77777777" w:rsidR="00633B11" w:rsidRDefault="009B30DB">
            <w:pPr>
              <w:pStyle w:val="P68B1DB1-TableParagraph4"/>
              <w:ind w:left="103"/>
            </w:pPr>
            <w:r>
              <w:t>2,91-3,12</w:t>
            </w:r>
          </w:p>
        </w:tc>
        <w:tc>
          <w:tcPr>
            <w:tcW w:w="1985" w:type="dxa"/>
          </w:tcPr>
          <w:p w14:paraId="289CB572" w14:textId="77777777" w:rsidR="00633B11" w:rsidRDefault="009B30DB">
            <w:pPr>
              <w:pStyle w:val="P68B1DB1-TableParagraph4"/>
            </w:pPr>
            <w:r>
              <w:t>B-</w:t>
            </w:r>
          </w:p>
        </w:tc>
        <w:tc>
          <w:tcPr>
            <w:tcW w:w="1292" w:type="dxa"/>
          </w:tcPr>
          <w:p w14:paraId="289CB573" w14:textId="77777777" w:rsidR="00633B11" w:rsidRDefault="009B30DB">
            <w:pPr>
              <w:pStyle w:val="P68B1DB1-TableParagraph4"/>
            </w:pPr>
            <w:proofErr w:type="spellStart"/>
            <w:r>
              <w:t>Good</w:t>
            </w:r>
            <w:proofErr w:type="spellEnd"/>
          </w:p>
        </w:tc>
      </w:tr>
      <w:tr w:rsidR="00633B11" w14:paraId="289CB57A" w14:textId="77777777">
        <w:trPr>
          <w:trHeight w:val="260"/>
        </w:trPr>
        <w:tc>
          <w:tcPr>
            <w:tcW w:w="1382" w:type="dxa"/>
            <w:vMerge/>
            <w:tcBorders>
              <w:top w:val="nil"/>
            </w:tcBorders>
          </w:tcPr>
          <w:p w14:paraId="289CB575" w14:textId="77777777" w:rsidR="00633B11" w:rsidRDefault="00633B11">
            <w:pPr>
              <w:rPr>
                <w:sz w:val="2"/>
              </w:rPr>
            </w:pPr>
          </w:p>
        </w:tc>
        <w:tc>
          <w:tcPr>
            <w:tcW w:w="1304" w:type="dxa"/>
          </w:tcPr>
          <w:p w14:paraId="289CB576" w14:textId="77777777" w:rsidR="00633B11" w:rsidRDefault="009B30DB">
            <w:pPr>
              <w:pStyle w:val="P68B1DB1-TableParagraph4"/>
              <w:ind w:left="105"/>
            </w:pPr>
            <w:r>
              <w:t>70-74</w:t>
            </w:r>
          </w:p>
        </w:tc>
        <w:tc>
          <w:tcPr>
            <w:tcW w:w="1676" w:type="dxa"/>
          </w:tcPr>
          <w:p w14:paraId="289CB577" w14:textId="77777777" w:rsidR="00633B11" w:rsidRDefault="009B30DB">
            <w:pPr>
              <w:pStyle w:val="P68B1DB1-TableParagraph4"/>
              <w:ind w:left="103"/>
            </w:pPr>
            <w:r>
              <w:t>2,70-2,90</w:t>
            </w:r>
          </w:p>
        </w:tc>
        <w:tc>
          <w:tcPr>
            <w:tcW w:w="1985" w:type="dxa"/>
          </w:tcPr>
          <w:p w14:paraId="289CB578" w14:textId="77777777" w:rsidR="00633B11" w:rsidRDefault="009B30DB">
            <w:pPr>
              <w:pStyle w:val="P68B1DB1-TableParagraph4"/>
            </w:pPr>
            <w:r>
              <w:t>C+</w:t>
            </w:r>
          </w:p>
        </w:tc>
        <w:tc>
          <w:tcPr>
            <w:tcW w:w="1292" w:type="dxa"/>
          </w:tcPr>
          <w:p w14:paraId="289CB579" w14:textId="77777777" w:rsidR="00633B11" w:rsidRDefault="009B30DB">
            <w:pPr>
              <w:pStyle w:val="P68B1DB1-TableParagraph4"/>
            </w:pPr>
            <w:proofErr w:type="spellStart"/>
            <w:r>
              <w:t>Good</w:t>
            </w:r>
            <w:proofErr w:type="spellEnd"/>
          </w:p>
        </w:tc>
      </w:tr>
      <w:tr w:rsidR="00633B11" w14:paraId="289CB580" w14:textId="77777777">
        <w:trPr>
          <w:trHeight w:val="260"/>
        </w:trPr>
        <w:tc>
          <w:tcPr>
            <w:tcW w:w="1382" w:type="dxa"/>
          </w:tcPr>
          <w:p w14:paraId="289CB57B" w14:textId="77777777" w:rsidR="00633B11" w:rsidRDefault="009B30DB">
            <w:pPr>
              <w:pStyle w:val="P68B1DB1-TableParagraph4"/>
              <w:spacing w:before="1" w:line="257" w:lineRule="exact"/>
              <w:ind w:left="103"/>
            </w:pPr>
            <w:r>
              <w:t>D</w:t>
            </w:r>
          </w:p>
        </w:tc>
        <w:tc>
          <w:tcPr>
            <w:tcW w:w="1304" w:type="dxa"/>
          </w:tcPr>
          <w:p w14:paraId="289CB57C" w14:textId="77777777" w:rsidR="00633B11" w:rsidRDefault="009B30DB">
            <w:pPr>
              <w:pStyle w:val="P68B1DB1-TableParagraph4"/>
              <w:spacing w:before="1" w:line="257" w:lineRule="exact"/>
              <w:ind w:left="105"/>
            </w:pPr>
            <w:r>
              <w:t>65-69</w:t>
            </w:r>
          </w:p>
        </w:tc>
        <w:tc>
          <w:tcPr>
            <w:tcW w:w="1676" w:type="dxa"/>
          </w:tcPr>
          <w:p w14:paraId="289CB57D" w14:textId="77777777" w:rsidR="00633B11" w:rsidRDefault="009B30DB">
            <w:pPr>
              <w:pStyle w:val="P68B1DB1-TableParagraph4"/>
              <w:spacing w:before="1" w:line="257" w:lineRule="exact"/>
              <w:ind w:left="103"/>
            </w:pPr>
            <w:r>
              <w:t>2,48-2,69</w:t>
            </w:r>
          </w:p>
        </w:tc>
        <w:tc>
          <w:tcPr>
            <w:tcW w:w="1985" w:type="dxa"/>
          </w:tcPr>
          <w:p w14:paraId="289CB57E" w14:textId="77777777" w:rsidR="00633B11" w:rsidRDefault="009B30DB">
            <w:pPr>
              <w:pStyle w:val="P68B1DB1-TableParagraph4"/>
              <w:spacing w:before="1" w:line="257" w:lineRule="exact"/>
            </w:pPr>
            <w:r>
              <w:t>C</w:t>
            </w:r>
          </w:p>
        </w:tc>
        <w:tc>
          <w:tcPr>
            <w:tcW w:w="1292" w:type="dxa"/>
          </w:tcPr>
          <w:p w14:paraId="289CB57F" w14:textId="77777777" w:rsidR="00633B11" w:rsidRDefault="009B30DB">
            <w:pPr>
              <w:pStyle w:val="P68B1DB1-TableParagraph4"/>
              <w:spacing w:before="1" w:line="257" w:lineRule="exact"/>
            </w:pPr>
            <w:proofErr w:type="spellStart"/>
            <w:r>
              <w:t>Average</w:t>
            </w:r>
            <w:proofErr w:type="spellEnd"/>
          </w:p>
        </w:tc>
      </w:tr>
      <w:tr w:rsidR="00633B11" w14:paraId="289CB586" w14:textId="77777777">
        <w:trPr>
          <w:trHeight w:val="260"/>
        </w:trPr>
        <w:tc>
          <w:tcPr>
            <w:tcW w:w="1382" w:type="dxa"/>
          </w:tcPr>
          <w:p w14:paraId="289CB581" w14:textId="77777777" w:rsidR="00633B11" w:rsidRDefault="009B30DB">
            <w:pPr>
              <w:pStyle w:val="P68B1DB1-TableParagraph4"/>
              <w:ind w:left="103"/>
            </w:pPr>
            <w:r>
              <w:t>E</w:t>
            </w:r>
          </w:p>
        </w:tc>
        <w:tc>
          <w:tcPr>
            <w:tcW w:w="1304" w:type="dxa"/>
          </w:tcPr>
          <w:p w14:paraId="289CB582" w14:textId="77777777" w:rsidR="00633B11" w:rsidRDefault="009B30DB">
            <w:pPr>
              <w:pStyle w:val="P68B1DB1-TableParagraph4"/>
              <w:ind w:left="105"/>
            </w:pPr>
            <w:r>
              <w:t>60-64</w:t>
            </w:r>
          </w:p>
        </w:tc>
        <w:tc>
          <w:tcPr>
            <w:tcW w:w="1676" w:type="dxa"/>
          </w:tcPr>
          <w:p w14:paraId="289CB583" w14:textId="77777777" w:rsidR="00633B11" w:rsidRDefault="009B30DB">
            <w:pPr>
              <w:pStyle w:val="P68B1DB1-TableParagraph4"/>
              <w:ind w:left="103"/>
            </w:pPr>
            <w:r>
              <w:t>2,27-2,47</w:t>
            </w:r>
          </w:p>
        </w:tc>
        <w:tc>
          <w:tcPr>
            <w:tcW w:w="1985" w:type="dxa"/>
          </w:tcPr>
          <w:p w14:paraId="289CB584" w14:textId="77777777" w:rsidR="00633B11" w:rsidRDefault="009B30DB">
            <w:pPr>
              <w:pStyle w:val="P68B1DB1-TableParagraph4"/>
            </w:pPr>
            <w:r>
              <w:t>C-</w:t>
            </w:r>
          </w:p>
        </w:tc>
        <w:tc>
          <w:tcPr>
            <w:tcW w:w="1292" w:type="dxa"/>
          </w:tcPr>
          <w:p w14:paraId="289CB585" w14:textId="77777777" w:rsidR="00633B11" w:rsidRDefault="009B30DB">
            <w:pPr>
              <w:pStyle w:val="P68B1DB1-TableParagraph4"/>
            </w:pPr>
            <w:proofErr w:type="spellStart"/>
            <w:r>
              <w:t>Average</w:t>
            </w:r>
            <w:proofErr w:type="spellEnd"/>
          </w:p>
        </w:tc>
      </w:tr>
      <w:tr w:rsidR="00633B11" w14:paraId="289CB58C" w14:textId="77777777">
        <w:trPr>
          <w:trHeight w:val="260"/>
        </w:trPr>
        <w:tc>
          <w:tcPr>
            <w:tcW w:w="1382" w:type="dxa"/>
          </w:tcPr>
          <w:p w14:paraId="289CB587" w14:textId="77777777" w:rsidR="00633B11" w:rsidRDefault="009B30DB">
            <w:pPr>
              <w:pStyle w:val="P68B1DB1-TableParagraph4"/>
              <w:ind w:left="103"/>
            </w:pPr>
            <w:proofErr w:type="spellStart"/>
            <w:proofErr w:type="gramStart"/>
            <w:r>
              <w:t>F,Fx</w:t>
            </w:r>
            <w:proofErr w:type="spellEnd"/>
            <w:proofErr w:type="gramEnd"/>
          </w:p>
        </w:tc>
        <w:tc>
          <w:tcPr>
            <w:tcW w:w="1304" w:type="dxa"/>
          </w:tcPr>
          <w:p w14:paraId="289CB588" w14:textId="77777777" w:rsidR="00633B11" w:rsidRDefault="009B30DB">
            <w:pPr>
              <w:pStyle w:val="P68B1DB1-TableParagraph4"/>
              <w:ind w:left="105"/>
            </w:pPr>
            <w:proofErr w:type="gramStart"/>
            <w:r>
              <w:t>0 -</w:t>
            </w:r>
            <w:proofErr w:type="gramEnd"/>
            <w:r>
              <w:t xml:space="preserve"> 59</w:t>
            </w:r>
          </w:p>
        </w:tc>
        <w:tc>
          <w:tcPr>
            <w:tcW w:w="1676" w:type="dxa"/>
          </w:tcPr>
          <w:p w14:paraId="289CB589" w14:textId="77777777" w:rsidR="00633B11" w:rsidRDefault="009B30DB">
            <w:pPr>
              <w:pStyle w:val="TableParagraph"/>
              <w:ind w:left="103"/>
              <w:rPr>
                <w:sz w:val="24"/>
              </w:rPr>
            </w:pPr>
            <w:r>
              <w:rPr>
                <w:position w:val="2"/>
                <w:sz w:val="24"/>
              </w:rPr>
              <w:t>(F</w:t>
            </w:r>
            <w:r>
              <w:rPr>
                <w:sz w:val="16"/>
              </w:rPr>
              <w:t>1-</w:t>
            </w:r>
            <w:r>
              <w:rPr>
                <w:position w:val="2"/>
                <w:sz w:val="24"/>
              </w:rPr>
              <w:t>F</w:t>
            </w:r>
            <w:proofErr w:type="gramStart"/>
            <w:r>
              <w:rPr>
                <w:sz w:val="16"/>
              </w:rPr>
              <w:t xml:space="preserve">2 </w:t>
            </w:r>
            <w:r>
              <w:rPr>
                <w:position w:val="2"/>
                <w:sz w:val="24"/>
              </w:rPr>
              <w:t>)</w:t>
            </w:r>
            <w:proofErr w:type="gramEnd"/>
          </w:p>
        </w:tc>
        <w:tc>
          <w:tcPr>
            <w:tcW w:w="1985" w:type="dxa"/>
          </w:tcPr>
          <w:p w14:paraId="289CB58A" w14:textId="77777777" w:rsidR="00633B11" w:rsidRDefault="009B30DB">
            <w:pPr>
              <w:pStyle w:val="P68B1DB1-TableParagraph4"/>
            </w:pPr>
            <w:r>
              <w:t>F</w:t>
            </w:r>
          </w:p>
        </w:tc>
        <w:tc>
          <w:tcPr>
            <w:tcW w:w="1292" w:type="dxa"/>
          </w:tcPr>
          <w:p w14:paraId="289CB58B" w14:textId="77777777" w:rsidR="00633B11" w:rsidRDefault="009B30DB">
            <w:pPr>
              <w:pStyle w:val="P68B1DB1-TableParagraph4"/>
            </w:pPr>
            <w:proofErr w:type="spellStart"/>
            <w:r>
              <w:t>Failure</w:t>
            </w:r>
            <w:proofErr w:type="spellEnd"/>
          </w:p>
        </w:tc>
      </w:tr>
    </w:tbl>
    <w:p w14:paraId="289CB58D" w14:textId="77777777" w:rsidR="00633B11" w:rsidRDefault="00633B11">
      <w:pPr>
        <w:pStyle w:val="GvdeMetni"/>
        <w:ind w:left="0" w:firstLine="0"/>
        <w:jc w:val="left"/>
        <w:rPr>
          <w:sz w:val="26"/>
        </w:rPr>
      </w:pPr>
    </w:p>
    <w:p w14:paraId="289CB58E" w14:textId="77777777" w:rsidR="00633B11" w:rsidRDefault="009B30DB">
      <w:pPr>
        <w:pStyle w:val="GvdeMetni"/>
        <w:spacing w:before="175"/>
        <w:ind w:firstLine="0"/>
        <w:jc w:val="left"/>
      </w:pPr>
      <w:r>
        <w:t xml:space="preserve">Grade Conversion </w:t>
      </w:r>
      <w:proofErr w:type="spellStart"/>
      <w:r>
        <w:t>Table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Outgoing</w:t>
      </w:r>
      <w:proofErr w:type="spellEnd"/>
      <w:r>
        <w:t xml:space="preserve"> </w:t>
      </w:r>
      <w:proofErr w:type="spellStart"/>
      <w:r>
        <w:t>Undergraduate</w:t>
      </w:r>
      <w:proofErr w:type="spellEnd"/>
      <w:r>
        <w:t xml:space="preserve"> </w:t>
      </w:r>
      <w:proofErr w:type="spellStart"/>
      <w:r>
        <w:t>Erasmus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Istanbul</w:t>
      </w:r>
      <w:proofErr w:type="spellEnd"/>
      <w:r>
        <w:t xml:space="preserve"> </w:t>
      </w:r>
      <w:proofErr w:type="spellStart"/>
      <w:r>
        <w:t>Medipol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>:</w:t>
      </w:r>
    </w:p>
    <w:p w14:paraId="289CB58F" w14:textId="77777777" w:rsidR="00633B11" w:rsidRDefault="00633B11">
      <w:pPr>
        <w:pStyle w:val="GvdeMetni"/>
        <w:spacing w:before="6"/>
        <w:ind w:left="0" w:firstLine="0"/>
        <w:jc w:val="left"/>
        <w:rPr>
          <w:sz w:val="17"/>
        </w:rPr>
      </w:pPr>
    </w:p>
    <w:tbl>
      <w:tblPr>
        <w:tblStyle w:val="TableNormal"/>
        <w:tblW w:w="0" w:type="auto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1045"/>
        <w:gridCol w:w="1699"/>
        <w:gridCol w:w="1968"/>
        <w:gridCol w:w="1844"/>
      </w:tblGrid>
      <w:tr w:rsidR="00633B11" w14:paraId="289CB592" w14:textId="77777777">
        <w:trPr>
          <w:trHeight w:val="260"/>
        </w:trPr>
        <w:tc>
          <w:tcPr>
            <w:tcW w:w="1385" w:type="dxa"/>
          </w:tcPr>
          <w:p w14:paraId="289CB590" w14:textId="77777777" w:rsidR="00633B11" w:rsidRDefault="00633B1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556" w:type="dxa"/>
            <w:gridSpan w:val="4"/>
          </w:tcPr>
          <w:p w14:paraId="289CB591" w14:textId="77777777" w:rsidR="00633B11" w:rsidRDefault="009B30DB">
            <w:pPr>
              <w:pStyle w:val="P68B1DB1-TableParagraph3"/>
              <w:ind w:left="660"/>
            </w:pPr>
            <w:proofErr w:type="spellStart"/>
            <w:r>
              <w:t>Istanbul</w:t>
            </w:r>
            <w:proofErr w:type="spellEnd"/>
            <w:r>
              <w:t xml:space="preserve"> </w:t>
            </w:r>
            <w:proofErr w:type="spellStart"/>
            <w:r>
              <w:t>Medipol</w:t>
            </w:r>
            <w:proofErr w:type="spellEnd"/>
            <w:r>
              <w:t xml:space="preserve"> </w:t>
            </w:r>
            <w:proofErr w:type="spellStart"/>
            <w:r>
              <w:t>University</w:t>
            </w:r>
            <w:proofErr w:type="spellEnd"/>
            <w:r>
              <w:t xml:space="preserve"> </w:t>
            </w:r>
            <w:proofErr w:type="spellStart"/>
            <w:r>
              <w:t>Grading</w:t>
            </w:r>
            <w:proofErr w:type="spellEnd"/>
            <w:r>
              <w:t xml:space="preserve"> </w:t>
            </w:r>
            <w:proofErr w:type="spellStart"/>
            <w:r>
              <w:t>System</w:t>
            </w:r>
            <w:proofErr w:type="spellEnd"/>
          </w:p>
        </w:tc>
      </w:tr>
      <w:tr w:rsidR="00633B11" w14:paraId="289CB599" w14:textId="77777777">
        <w:trPr>
          <w:trHeight w:val="540"/>
        </w:trPr>
        <w:tc>
          <w:tcPr>
            <w:tcW w:w="1385" w:type="dxa"/>
          </w:tcPr>
          <w:p w14:paraId="289CB593" w14:textId="77777777" w:rsidR="00633B11" w:rsidRDefault="009B30DB">
            <w:pPr>
              <w:pStyle w:val="P68B1DB1-TableParagraph3"/>
              <w:spacing w:line="275" w:lineRule="exact"/>
              <w:ind w:left="105"/>
            </w:pPr>
            <w:r>
              <w:t>ECTS</w:t>
            </w:r>
          </w:p>
          <w:p w14:paraId="289CB594" w14:textId="77777777" w:rsidR="00633B11" w:rsidRDefault="009B30DB">
            <w:pPr>
              <w:pStyle w:val="P68B1DB1-TableParagraph3"/>
              <w:spacing w:line="257" w:lineRule="exact"/>
              <w:ind w:left="105"/>
            </w:pPr>
            <w:r>
              <w:t>Grade</w:t>
            </w:r>
          </w:p>
        </w:tc>
        <w:tc>
          <w:tcPr>
            <w:tcW w:w="1045" w:type="dxa"/>
          </w:tcPr>
          <w:p w14:paraId="289CB595" w14:textId="77777777" w:rsidR="00633B11" w:rsidRDefault="009B30DB">
            <w:pPr>
              <w:pStyle w:val="P68B1DB1-TableParagraph3"/>
              <w:spacing w:line="275" w:lineRule="exact"/>
            </w:pPr>
            <w:proofErr w:type="spellStart"/>
            <w:r>
              <w:t>Scores</w:t>
            </w:r>
            <w:proofErr w:type="spellEnd"/>
          </w:p>
        </w:tc>
        <w:tc>
          <w:tcPr>
            <w:tcW w:w="1699" w:type="dxa"/>
          </w:tcPr>
          <w:p w14:paraId="289CB596" w14:textId="77777777" w:rsidR="00633B11" w:rsidRDefault="009B30DB">
            <w:pPr>
              <w:pStyle w:val="P68B1DB1-TableParagraph3"/>
              <w:spacing w:before="2" w:line="276" w:lineRule="exact"/>
              <w:ind w:right="620"/>
            </w:pPr>
            <w:proofErr w:type="spellStart"/>
            <w:r>
              <w:t>Success</w:t>
            </w:r>
            <w:proofErr w:type="spellEnd"/>
            <w:r>
              <w:t xml:space="preserve"> </w:t>
            </w:r>
            <w:proofErr w:type="spellStart"/>
            <w:r>
              <w:t>Coefficient</w:t>
            </w:r>
            <w:proofErr w:type="spellEnd"/>
          </w:p>
        </w:tc>
        <w:tc>
          <w:tcPr>
            <w:tcW w:w="1968" w:type="dxa"/>
          </w:tcPr>
          <w:p w14:paraId="289CB597" w14:textId="77777777" w:rsidR="00633B11" w:rsidRDefault="009B30DB">
            <w:pPr>
              <w:pStyle w:val="P68B1DB1-TableParagraph3"/>
              <w:spacing w:before="2" w:line="276" w:lineRule="exact"/>
              <w:ind w:left="105" w:right="480"/>
            </w:pPr>
            <w:proofErr w:type="spellStart"/>
            <w:r>
              <w:t>Letter</w:t>
            </w:r>
            <w:proofErr w:type="spellEnd"/>
            <w:r>
              <w:t xml:space="preserve"> </w:t>
            </w:r>
            <w:proofErr w:type="spellStart"/>
            <w:r>
              <w:t>Success</w:t>
            </w:r>
            <w:proofErr w:type="spellEnd"/>
            <w:r>
              <w:t xml:space="preserve"> Grade</w:t>
            </w:r>
          </w:p>
        </w:tc>
        <w:tc>
          <w:tcPr>
            <w:tcW w:w="1844" w:type="dxa"/>
          </w:tcPr>
          <w:p w14:paraId="289CB598" w14:textId="77777777" w:rsidR="00633B11" w:rsidRDefault="009B30DB">
            <w:pPr>
              <w:pStyle w:val="P68B1DB1-TableParagraph3"/>
              <w:spacing w:line="275" w:lineRule="exact"/>
              <w:ind w:left="103"/>
            </w:pPr>
            <w:proofErr w:type="spellStart"/>
            <w:r>
              <w:t>Degree</w:t>
            </w:r>
            <w:proofErr w:type="spellEnd"/>
          </w:p>
        </w:tc>
      </w:tr>
      <w:tr w:rsidR="00633B11" w14:paraId="289CB5A0" w14:textId="77777777">
        <w:trPr>
          <w:trHeight w:val="257"/>
        </w:trPr>
        <w:tc>
          <w:tcPr>
            <w:tcW w:w="1385" w:type="dxa"/>
            <w:vMerge w:val="restart"/>
          </w:tcPr>
          <w:p w14:paraId="289CB59A" w14:textId="77777777" w:rsidR="00633B11" w:rsidRDefault="00633B11">
            <w:pPr>
              <w:pStyle w:val="TableParagraph"/>
              <w:spacing w:before="8" w:line="240" w:lineRule="auto"/>
              <w:ind w:left="0"/>
              <w:rPr>
                <w:sz w:val="23"/>
              </w:rPr>
            </w:pPr>
          </w:p>
          <w:p w14:paraId="289CB59B" w14:textId="77777777" w:rsidR="00633B11" w:rsidRDefault="009B30DB">
            <w:pPr>
              <w:pStyle w:val="P68B1DB1-TableParagraph4"/>
              <w:spacing w:line="240" w:lineRule="auto"/>
              <w:ind w:left="105"/>
            </w:pPr>
            <w:r>
              <w:t>A</w:t>
            </w:r>
          </w:p>
        </w:tc>
        <w:tc>
          <w:tcPr>
            <w:tcW w:w="1045" w:type="dxa"/>
          </w:tcPr>
          <w:p w14:paraId="289CB59C" w14:textId="77777777" w:rsidR="00633B11" w:rsidRDefault="009B30DB">
            <w:pPr>
              <w:pStyle w:val="P68B1DB1-TableParagraph4"/>
              <w:spacing w:line="253" w:lineRule="exact"/>
            </w:pPr>
            <w:proofErr w:type="gramStart"/>
            <w:r>
              <w:t>95 -</w:t>
            </w:r>
            <w:proofErr w:type="gramEnd"/>
            <w:r>
              <w:t xml:space="preserve"> 100</w:t>
            </w:r>
          </w:p>
        </w:tc>
        <w:tc>
          <w:tcPr>
            <w:tcW w:w="1699" w:type="dxa"/>
          </w:tcPr>
          <w:p w14:paraId="289CB59D" w14:textId="77777777" w:rsidR="00633B11" w:rsidRDefault="009B30DB">
            <w:pPr>
              <w:pStyle w:val="P68B1DB1-TableParagraph4"/>
              <w:spacing w:line="253" w:lineRule="exact"/>
            </w:pPr>
            <w:r>
              <w:t>3,77-4,0</w:t>
            </w:r>
          </w:p>
        </w:tc>
        <w:tc>
          <w:tcPr>
            <w:tcW w:w="1968" w:type="dxa"/>
          </w:tcPr>
          <w:p w14:paraId="289CB59E" w14:textId="77777777" w:rsidR="00633B11" w:rsidRDefault="009B30DB">
            <w:pPr>
              <w:pStyle w:val="P68B1DB1-TableParagraph4"/>
              <w:spacing w:line="253" w:lineRule="exact"/>
              <w:ind w:left="105"/>
            </w:pPr>
            <w:r>
              <w:t>A</w:t>
            </w:r>
          </w:p>
        </w:tc>
        <w:tc>
          <w:tcPr>
            <w:tcW w:w="1844" w:type="dxa"/>
          </w:tcPr>
          <w:p w14:paraId="289CB59F" w14:textId="77777777" w:rsidR="00633B11" w:rsidRDefault="009B30DB">
            <w:pPr>
              <w:pStyle w:val="P68B1DB1-TableParagraph4"/>
              <w:spacing w:line="253" w:lineRule="exact"/>
              <w:ind w:left="103"/>
            </w:pPr>
            <w:proofErr w:type="spellStart"/>
            <w:r>
              <w:t>Very</w:t>
            </w:r>
            <w:proofErr w:type="spellEnd"/>
            <w:r>
              <w:t xml:space="preserve"> </w:t>
            </w:r>
            <w:proofErr w:type="spellStart"/>
            <w:r>
              <w:t>Good</w:t>
            </w:r>
            <w:proofErr w:type="spellEnd"/>
          </w:p>
        </w:tc>
      </w:tr>
      <w:tr w:rsidR="00633B11" w14:paraId="289CB5A6" w14:textId="77777777">
        <w:trPr>
          <w:trHeight w:val="260"/>
        </w:trPr>
        <w:tc>
          <w:tcPr>
            <w:tcW w:w="1385" w:type="dxa"/>
            <w:vMerge/>
            <w:tcBorders>
              <w:top w:val="nil"/>
            </w:tcBorders>
          </w:tcPr>
          <w:p w14:paraId="289CB5A1" w14:textId="77777777" w:rsidR="00633B11" w:rsidRDefault="00633B11">
            <w:pPr>
              <w:rPr>
                <w:sz w:val="2"/>
              </w:rPr>
            </w:pPr>
          </w:p>
        </w:tc>
        <w:tc>
          <w:tcPr>
            <w:tcW w:w="1045" w:type="dxa"/>
          </w:tcPr>
          <w:p w14:paraId="289CB5A2" w14:textId="77777777" w:rsidR="00633B11" w:rsidRDefault="009B30DB">
            <w:pPr>
              <w:pStyle w:val="P68B1DB1-TableParagraph4"/>
            </w:pPr>
            <w:r>
              <w:t>90-94</w:t>
            </w:r>
          </w:p>
        </w:tc>
        <w:tc>
          <w:tcPr>
            <w:tcW w:w="1699" w:type="dxa"/>
          </w:tcPr>
          <w:p w14:paraId="289CB5A3" w14:textId="77777777" w:rsidR="00633B11" w:rsidRDefault="009B30DB">
            <w:pPr>
              <w:pStyle w:val="P68B1DB1-TableParagraph4"/>
            </w:pPr>
            <w:r>
              <w:t>3,55-3,76</w:t>
            </w:r>
          </w:p>
        </w:tc>
        <w:tc>
          <w:tcPr>
            <w:tcW w:w="1968" w:type="dxa"/>
          </w:tcPr>
          <w:p w14:paraId="289CB5A4" w14:textId="77777777" w:rsidR="00633B11" w:rsidRDefault="009B30DB">
            <w:pPr>
              <w:pStyle w:val="P68B1DB1-TableParagraph4"/>
              <w:ind w:left="105"/>
            </w:pPr>
            <w:r>
              <w:t>A-</w:t>
            </w:r>
          </w:p>
        </w:tc>
        <w:tc>
          <w:tcPr>
            <w:tcW w:w="1844" w:type="dxa"/>
          </w:tcPr>
          <w:p w14:paraId="289CB5A5" w14:textId="77777777" w:rsidR="00633B11" w:rsidRDefault="009B30DB">
            <w:pPr>
              <w:pStyle w:val="P68B1DB1-TableParagraph4"/>
              <w:ind w:left="103"/>
            </w:pPr>
            <w:proofErr w:type="spellStart"/>
            <w:r>
              <w:t>Very</w:t>
            </w:r>
            <w:proofErr w:type="spellEnd"/>
            <w:r>
              <w:t xml:space="preserve"> </w:t>
            </w:r>
            <w:proofErr w:type="spellStart"/>
            <w:r>
              <w:t>Good</w:t>
            </w:r>
            <w:proofErr w:type="spellEnd"/>
          </w:p>
        </w:tc>
      </w:tr>
      <w:tr w:rsidR="00633B11" w14:paraId="289CB5AC" w14:textId="77777777">
        <w:trPr>
          <w:trHeight w:val="260"/>
        </w:trPr>
        <w:tc>
          <w:tcPr>
            <w:tcW w:w="1385" w:type="dxa"/>
            <w:vMerge/>
            <w:tcBorders>
              <w:top w:val="nil"/>
            </w:tcBorders>
          </w:tcPr>
          <w:p w14:paraId="289CB5A7" w14:textId="77777777" w:rsidR="00633B11" w:rsidRDefault="00633B11">
            <w:pPr>
              <w:rPr>
                <w:sz w:val="2"/>
              </w:rPr>
            </w:pPr>
          </w:p>
        </w:tc>
        <w:tc>
          <w:tcPr>
            <w:tcW w:w="1045" w:type="dxa"/>
          </w:tcPr>
          <w:p w14:paraId="289CB5A8" w14:textId="77777777" w:rsidR="00633B11" w:rsidRDefault="009B30DB">
            <w:pPr>
              <w:pStyle w:val="P68B1DB1-TableParagraph4"/>
            </w:pPr>
            <w:r>
              <w:t>85-89</w:t>
            </w:r>
          </w:p>
        </w:tc>
        <w:tc>
          <w:tcPr>
            <w:tcW w:w="1699" w:type="dxa"/>
          </w:tcPr>
          <w:p w14:paraId="289CB5A9" w14:textId="77777777" w:rsidR="00633B11" w:rsidRDefault="009B30DB">
            <w:pPr>
              <w:pStyle w:val="P68B1DB1-TableParagraph4"/>
            </w:pPr>
            <w:r>
              <w:t>3,34-3,54</w:t>
            </w:r>
          </w:p>
        </w:tc>
        <w:tc>
          <w:tcPr>
            <w:tcW w:w="1968" w:type="dxa"/>
          </w:tcPr>
          <w:p w14:paraId="289CB5AA" w14:textId="77777777" w:rsidR="00633B11" w:rsidRDefault="009B30DB">
            <w:pPr>
              <w:pStyle w:val="P68B1DB1-TableParagraph4"/>
              <w:ind w:left="105"/>
            </w:pPr>
            <w:r>
              <w:t>B+</w:t>
            </w:r>
          </w:p>
        </w:tc>
        <w:tc>
          <w:tcPr>
            <w:tcW w:w="1844" w:type="dxa"/>
          </w:tcPr>
          <w:p w14:paraId="289CB5AB" w14:textId="77777777" w:rsidR="00633B11" w:rsidRDefault="009B30DB">
            <w:pPr>
              <w:pStyle w:val="P68B1DB1-TableParagraph4"/>
              <w:ind w:left="103"/>
            </w:pPr>
            <w:proofErr w:type="spellStart"/>
            <w:r>
              <w:t>Very</w:t>
            </w:r>
            <w:proofErr w:type="spellEnd"/>
            <w:r>
              <w:t xml:space="preserve"> </w:t>
            </w:r>
            <w:proofErr w:type="spellStart"/>
            <w:r>
              <w:t>Good</w:t>
            </w:r>
            <w:proofErr w:type="spellEnd"/>
          </w:p>
        </w:tc>
      </w:tr>
      <w:tr w:rsidR="00633B11" w14:paraId="289CB5B2" w14:textId="77777777">
        <w:trPr>
          <w:trHeight w:val="260"/>
        </w:trPr>
        <w:tc>
          <w:tcPr>
            <w:tcW w:w="1385" w:type="dxa"/>
          </w:tcPr>
          <w:p w14:paraId="289CB5AD" w14:textId="77777777" w:rsidR="00633B11" w:rsidRDefault="009B30DB">
            <w:pPr>
              <w:pStyle w:val="P68B1DB1-TableParagraph4"/>
              <w:spacing w:before="1" w:line="257" w:lineRule="exact"/>
              <w:ind w:left="105"/>
            </w:pPr>
            <w:r>
              <w:t>B</w:t>
            </w:r>
          </w:p>
        </w:tc>
        <w:tc>
          <w:tcPr>
            <w:tcW w:w="1045" w:type="dxa"/>
          </w:tcPr>
          <w:p w14:paraId="289CB5AE" w14:textId="77777777" w:rsidR="00633B11" w:rsidRDefault="009B30DB">
            <w:pPr>
              <w:pStyle w:val="P68B1DB1-TableParagraph4"/>
              <w:spacing w:before="1" w:line="257" w:lineRule="exact"/>
            </w:pPr>
            <w:r>
              <w:t>80-84</w:t>
            </w:r>
          </w:p>
        </w:tc>
        <w:tc>
          <w:tcPr>
            <w:tcW w:w="1699" w:type="dxa"/>
          </w:tcPr>
          <w:p w14:paraId="289CB5AF" w14:textId="77777777" w:rsidR="00633B11" w:rsidRDefault="009B30DB">
            <w:pPr>
              <w:pStyle w:val="P68B1DB1-TableParagraph4"/>
              <w:spacing w:before="1" w:line="257" w:lineRule="exact"/>
            </w:pPr>
            <w:r>
              <w:t>3,13-3,33</w:t>
            </w:r>
          </w:p>
        </w:tc>
        <w:tc>
          <w:tcPr>
            <w:tcW w:w="1968" w:type="dxa"/>
          </w:tcPr>
          <w:p w14:paraId="289CB5B0" w14:textId="77777777" w:rsidR="00633B11" w:rsidRDefault="009B30DB">
            <w:pPr>
              <w:pStyle w:val="P68B1DB1-TableParagraph4"/>
              <w:spacing w:before="1" w:line="257" w:lineRule="exact"/>
              <w:ind w:left="105"/>
            </w:pPr>
            <w:r>
              <w:t>B</w:t>
            </w:r>
          </w:p>
        </w:tc>
        <w:tc>
          <w:tcPr>
            <w:tcW w:w="1844" w:type="dxa"/>
          </w:tcPr>
          <w:p w14:paraId="289CB5B1" w14:textId="77777777" w:rsidR="00633B11" w:rsidRDefault="009B30DB">
            <w:pPr>
              <w:pStyle w:val="P68B1DB1-TableParagraph4"/>
              <w:spacing w:before="1" w:line="257" w:lineRule="exact"/>
              <w:ind w:left="103"/>
            </w:pPr>
            <w:proofErr w:type="spellStart"/>
            <w:r>
              <w:t>Good</w:t>
            </w:r>
            <w:proofErr w:type="spellEnd"/>
          </w:p>
        </w:tc>
      </w:tr>
      <w:tr w:rsidR="00633B11" w14:paraId="289CB5B8" w14:textId="77777777">
        <w:trPr>
          <w:trHeight w:val="260"/>
        </w:trPr>
        <w:tc>
          <w:tcPr>
            <w:tcW w:w="1385" w:type="dxa"/>
          </w:tcPr>
          <w:p w14:paraId="289CB5B3" w14:textId="77777777" w:rsidR="00633B11" w:rsidRDefault="009B30DB">
            <w:pPr>
              <w:pStyle w:val="P68B1DB1-TableParagraph4"/>
              <w:ind w:left="105"/>
            </w:pPr>
            <w:r>
              <w:t>C</w:t>
            </w:r>
          </w:p>
        </w:tc>
        <w:tc>
          <w:tcPr>
            <w:tcW w:w="1045" w:type="dxa"/>
          </w:tcPr>
          <w:p w14:paraId="289CB5B4" w14:textId="77777777" w:rsidR="00633B11" w:rsidRDefault="009B30DB">
            <w:pPr>
              <w:pStyle w:val="P68B1DB1-TableParagraph4"/>
            </w:pPr>
            <w:r>
              <w:t>75-79</w:t>
            </w:r>
          </w:p>
        </w:tc>
        <w:tc>
          <w:tcPr>
            <w:tcW w:w="1699" w:type="dxa"/>
          </w:tcPr>
          <w:p w14:paraId="289CB5B5" w14:textId="77777777" w:rsidR="00633B11" w:rsidRDefault="009B30DB">
            <w:pPr>
              <w:pStyle w:val="P68B1DB1-TableParagraph4"/>
            </w:pPr>
            <w:r>
              <w:t>2,91-3,12</w:t>
            </w:r>
          </w:p>
        </w:tc>
        <w:tc>
          <w:tcPr>
            <w:tcW w:w="1968" w:type="dxa"/>
          </w:tcPr>
          <w:p w14:paraId="289CB5B6" w14:textId="77777777" w:rsidR="00633B11" w:rsidRDefault="009B30DB">
            <w:pPr>
              <w:pStyle w:val="P68B1DB1-TableParagraph4"/>
              <w:ind w:left="105"/>
            </w:pPr>
            <w:r>
              <w:t>B-</w:t>
            </w:r>
          </w:p>
        </w:tc>
        <w:tc>
          <w:tcPr>
            <w:tcW w:w="1844" w:type="dxa"/>
          </w:tcPr>
          <w:p w14:paraId="289CB5B7" w14:textId="77777777" w:rsidR="00633B11" w:rsidRDefault="009B30DB">
            <w:pPr>
              <w:pStyle w:val="P68B1DB1-TableParagraph4"/>
              <w:ind w:left="103"/>
            </w:pPr>
            <w:proofErr w:type="spellStart"/>
            <w:r>
              <w:t>Good</w:t>
            </w:r>
            <w:proofErr w:type="spellEnd"/>
          </w:p>
        </w:tc>
      </w:tr>
      <w:tr w:rsidR="00633B11" w14:paraId="289CB5BE" w14:textId="77777777">
        <w:trPr>
          <w:trHeight w:val="260"/>
        </w:trPr>
        <w:tc>
          <w:tcPr>
            <w:tcW w:w="1385" w:type="dxa"/>
          </w:tcPr>
          <w:p w14:paraId="289CB5B9" w14:textId="77777777" w:rsidR="00633B11" w:rsidRDefault="009B30DB">
            <w:pPr>
              <w:pStyle w:val="P68B1DB1-TableParagraph4"/>
              <w:ind w:left="105"/>
            </w:pPr>
            <w:r>
              <w:t>D</w:t>
            </w:r>
          </w:p>
        </w:tc>
        <w:tc>
          <w:tcPr>
            <w:tcW w:w="1045" w:type="dxa"/>
          </w:tcPr>
          <w:p w14:paraId="289CB5BA" w14:textId="77777777" w:rsidR="00633B11" w:rsidRDefault="009B30DB">
            <w:pPr>
              <w:pStyle w:val="P68B1DB1-TableParagraph4"/>
            </w:pPr>
            <w:r>
              <w:t>70-74</w:t>
            </w:r>
          </w:p>
        </w:tc>
        <w:tc>
          <w:tcPr>
            <w:tcW w:w="1699" w:type="dxa"/>
          </w:tcPr>
          <w:p w14:paraId="289CB5BB" w14:textId="77777777" w:rsidR="00633B11" w:rsidRDefault="009B30DB">
            <w:pPr>
              <w:pStyle w:val="P68B1DB1-TableParagraph4"/>
            </w:pPr>
            <w:r>
              <w:t>2,70-2,90</w:t>
            </w:r>
          </w:p>
        </w:tc>
        <w:tc>
          <w:tcPr>
            <w:tcW w:w="1968" w:type="dxa"/>
          </w:tcPr>
          <w:p w14:paraId="289CB5BC" w14:textId="77777777" w:rsidR="00633B11" w:rsidRDefault="009B30DB">
            <w:pPr>
              <w:pStyle w:val="P68B1DB1-TableParagraph4"/>
              <w:ind w:left="105"/>
            </w:pPr>
            <w:r>
              <w:t>C+</w:t>
            </w:r>
          </w:p>
        </w:tc>
        <w:tc>
          <w:tcPr>
            <w:tcW w:w="1844" w:type="dxa"/>
          </w:tcPr>
          <w:p w14:paraId="289CB5BD" w14:textId="77777777" w:rsidR="00633B11" w:rsidRDefault="009B30DB">
            <w:pPr>
              <w:pStyle w:val="P68B1DB1-TableParagraph4"/>
              <w:ind w:left="103"/>
            </w:pPr>
            <w:proofErr w:type="spellStart"/>
            <w:r>
              <w:t>Good</w:t>
            </w:r>
            <w:proofErr w:type="spellEnd"/>
          </w:p>
        </w:tc>
      </w:tr>
      <w:tr w:rsidR="00633B11" w14:paraId="289CB5C4" w14:textId="77777777">
        <w:trPr>
          <w:trHeight w:val="260"/>
        </w:trPr>
        <w:tc>
          <w:tcPr>
            <w:tcW w:w="1385" w:type="dxa"/>
          </w:tcPr>
          <w:p w14:paraId="289CB5BF" w14:textId="77777777" w:rsidR="00633B11" w:rsidRDefault="009B30DB">
            <w:pPr>
              <w:pStyle w:val="P68B1DB1-TableParagraph4"/>
              <w:ind w:left="105"/>
            </w:pPr>
            <w:r>
              <w:t>E</w:t>
            </w:r>
          </w:p>
        </w:tc>
        <w:tc>
          <w:tcPr>
            <w:tcW w:w="1045" w:type="dxa"/>
          </w:tcPr>
          <w:p w14:paraId="289CB5C0" w14:textId="77777777" w:rsidR="00633B11" w:rsidRDefault="009B30DB">
            <w:pPr>
              <w:pStyle w:val="P68B1DB1-TableParagraph4"/>
            </w:pPr>
            <w:r>
              <w:t>65-69</w:t>
            </w:r>
          </w:p>
        </w:tc>
        <w:tc>
          <w:tcPr>
            <w:tcW w:w="1699" w:type="dxa"/>
          </w:tcPr>
          <w:p w14:paraId="289CB5C1" w14:textId="77777777" w:rsidR="00633B11" w:rsidRDefault="009B30DB">
            <w:pPr>
              <w:pStyle w:val="P68B1DB1-TableParagraph4"/>
            </w:pPr>
            <w:r>
              <w:t>2,48-2,69</w:t>
            </w:r>
          </w:p>
        </w:tc>
        <w:tc>
          <w:tcPr>
            <w:tcW w:w="1968" w:type="dxa"/>
          </w:tcPr>
          <w:p w14:paraId="289CB5C2" w14:textId="77777777" w:rsidR="00633B11" w:rsidRDefault="009B30DB">
            <w:pPr>
              <w:pStyle w:val="P68B1DB1-TableParagraph4"/>
              <w:ind w:left="105"/>
            </w:pPr>
            <w:r>
              <w:t>C</w:t>
            </w:r>
          </w:p>
        </w:tc>
        <w:tc>
          <w:tcPr>
            <w:tcW w:w="1844" w:type="dxa"/>
          </w:tcPr>
          <w:p w14:paraId="289CB5C3" w14:textId="77777777" w:rsidR="00633B11" w:rsidRDefault="009B30DB">
            <w:pPr>
              <w:pStyle w:val="P68B1DB1-TableParagraph4"/>
              <w:ind w:left="103"/>
            </w:pPr>
            <w:proofErr w:type="spellStart"/>
            <w:r>
              <w:t>Average</w:t>
            </w:r>
            <w:proofErr w:type="spellEnd"/>
          </w:p>
        </w:tc>
      </w:tr>
      <w:tr w:rsidR="00633B11" w14:paraId="289CB5CA" w14:textId="77777777">
        <w:trPr>
          <w:trHeight w:val="260"/>
        </w:trPr>
        <w:tc>
          <w:tcPr>
            <w:tcW w:w="1385" w:type="dxa"/>
          </w:tcPr>
          <w:p w14:paraId="289CB5C5" w14:textId="77777777" w:rsidR="00633B11" w:rsidRDefault="009B30DB">
            <w:pPr>
              <w:pStyle w:val="P68B1DB1-TableParagraph4"/>
              <w:ind w:left="105"/>
            </w:pPr>
            <w:proofErr w:type="spellStart"/>
            <w:proofErr w:type="gramStart"/>
            <w:r>
              <w:t>F,Fx</w:t>
            </w:r>
            <w:proofErr w:type="spellEnd"/>
            <w:proofErr w:type="gramEnd"/>
          </w:p>
        </w:tc>
        <w:tc>
          <w:tcPr>
            <w:tcW w:w="1045" w:type="dxa"/>
          </w:tcPr>
          <w:p w14:paraId="289CB5C6" w14:textId="77777777" w:rsidR="00633B11" w:rsidRDefault="009B30DB">
            <w:pPr>
              <w:pStyle w:val="P68B1DB1-TableParagraph4"/>
            </w:pPr>
            <w:r>
              <w:t>60-64</w:t>
            </w:r>
          </w:p>
        </w:tc>
        <w:tc>
          <w:tcPr>
            <w:tcW w:w="1699" w:type="dxa"/>
          </w:tcPr>
          <w:p w14:paraId="289CB5C7" w14:textId="77777777" w:rsidR="00633B11" w:rsidRDefault="009B30DB">
            <w:pPr>
              <w:pStyle w:val="P68B1DB1-TableParagraph4"/>
            </w:pPr>
            <w:r>
              <w:t>&lt;2,48</w:t>
            </w:r>
          </w:p>
        </w:tc>
        <w:tc>
          <w:tcPr>
            <w:tcW w:w="1968" w:type="dxa"/>
          </w:tcPr>
          <w:p w14:paraId="289CB5C8" w14:textId="77777777" w:rsidR="00633B11" w:rsidRDefault="009B30DB">
            <w:pPr>
              <w:pStyle w:val="P68B1DB1-TableParagraph4"/>
              <w:ind w:left="105"/>
            </w:pPr>
            <w:r>
              <w:t>F (F1-F2)</w:t>
            </w:r>
          </w:p>
        </w:tc>
        <w:tc>
          <w:tcPr>
            <w:tcW w:w="1844" w:type="dxa"/>
          </w:tcPr>
          <w:p w14:paraId="289CB5C9" w14:textId="77777777" w:rsidR="00633B11" w:rsidRDefault="009B30DB">
            <w:pPr>
              <w:pStyle w:val="P68B1DB1-TableParagraph4"/>
              <w:ind w:left="103"/>
            </w:pPr>
            <w:proofErr w:type="spellStart"/>
            <w:r>
              <w:t>Failure</w:t>
            </w:r>
            <w:proofErr w:type="spellEnd"/>
          </w:p>
        </w:tc>
      </w:tr>
    </w:tbl>
    <w:p w14:paraId="289CB5CB" w14:textId="77777777" w:rsidR="00633B11" w:rsidRDefault="00633B11">
      <w:pPr>
        <w:rPr>
          <w:sz w:val="24"/>
        </w:rPr>
        <w:sectPr w:rsidR="00633B11">
          <w:pgSz w:w="11910" w:h="16840"/>
          <w:pgMar w:top="1320" w:right="1300" w:bottom="280" w:left="1300" w:header="708" w:footer="708" w:gutter="0"/>
          <w:cols w:space="708"/>
        </w:sectPr>
      </w:pPr>
    </w:p>
    <w:p w14:paraId="289CB5CC" w14:textId="77777777" w:rsidR="00633B11" w:rsidRDefault="009B30DB">
      <w:pPr>
        <w:pStyle w:val="GvdeMetni"/>
        <w:spacing w:before="77"/>
        <w:ind w:firstLine="0"/>
        <w:jc w:val="left"/>
      </w:pPr>
      <w:r>
        <w:lastRenderedPageBreak/>
        <w:t xml:space="preserve">Grade Conversion </w:t>
      </w:r>
      <w:proofErr w:type="spellStart"/>
      <w:r>
        <w:t>Table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Outgoing</w:t>
      </w:r>
      <w:proofErr w:type="spellEnd"/>
      <w:r>
        <w:t xml:space="preserve"> </w:t>
      </w:r>
      <w:proofErr w:type="spellStart"/>
      <w:r>
        <w:t>Undergraduate</w:t>
      </w:r>
      <w:proofErr w:type="spellEnd"/>
      <w:r>
        <w:t xml:space="preserve"> </w:t>
      </w:r>
      <w:proofErr w:type="spellStart"/>
      <w:r>
        <w:t>Erasmus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Istanbul</w:t>
      </w:r>
      <w:proofErr w:type="spellEnd"/>
      <w:r>
        <w:t xml:space="preserve"> </w:t>
      </w:r>
      <w:proofErr w:type="spellStart"/>
      <w:r>
        <w:t>Medipol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>:</w:t>
      </w:r>
    </w:p>
    <w:p w14:paraId="289CB5CD" w14:textId="77777777" w:rsidR="00633B11" w:rsidRDefault="00633B11">
      <w:pPr>
        <w:pStyle w:val="GvdeMetni"/>
        <w:spacing w:before="6" w:after="1"/>
        <w:ind w:left="0" w:firstLine="0"/>
        <w:jc w:val="left"/>
        <w:rPr>
          <w:sz w:val="17"/>
        </w:rPr>
      </w:pPr>
    </w:p>
    <w:tbl>
      <w:tblPr>
        <w:tblStyle w:val="TableNormal"/>
        <w:tblW w:w="0" w:type="auto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1045"/>
        <w:gridCol w:w="1699"/>
        <w:gridCol w:w="1968"/>
        <w:gridCol w:w="1844"/>
      </w:tblGrid>
      <w:tr w:rsidR="00633B11" w14:paraId="289CB5D0" w14:textId="77777777">
        <w:trPr>
          <w:trHeight w:val="260"/>
        </w:trPr>
        <w:tc>
          <w:tcPr>
            <w:tcW w:w="1385" w:type="dxa"/>
          </w:tcPr>
          <w:p w14:paraId="289CB5CE" w14:textId="77777777" w:rsidR="00633B11" w:rsidRDefault="00633B1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556" w:type="dxa"/>
            <w:gridSpan w:val="4"/>
          </w:tcPr>
          <w:p w14:paraId="289CB5CF" w14:textId="77777777" w:rsidR="00633B11" w:rsidRDefault="009B30DB">
            <w:pPr>
              <w:pStyle w:val="P68B1DB1-TableParagraph3"/>
              <w:ind w:left="660"/>
            </w:pPr>
            <w:proofErr w:type="spellStart"/>
            <w:r>
              <w:t>Istanbul</w:t>
            </w:r>
            <w:proofErr w:type="spellEnd"/>
            <w:r>
              <w:t xml:space="preserve"> </w:t>
            </w:r>
            <w:proofErr w:type="spellStart"/>
            <w:r>
              <w:t>Medipol</w:t>
            </w:r>
            <w:proofErr w:type="spellEnd"/>
            <w:r>
              <w:t xml:space="preserve"> </w:t>
            </w:r>
            <w:proofErr w:type="spellStart"/>
            <w:r>
              <w:t>University</w:t>
            </w:r>
            <w:proofErr w:type="spellEnd"/>
            <w:r>
              <w:t xml:space="preserve"> </w:t>
            </w:r>
            <w:proofErr w:type="spellStart"/>
            <w:r>
              <w:t>Grading</w:t>
            </w:r>
            <w:proofErr w:type="spellEnd"/>
            <w:r>
              <w:t xml:space="preserve"> </w:t>
            </w:r>
            <w:proofErr w:type="spellStart"/>
            <w:r>
              <w:t>System</w:t>
            </w:r>
            <w:proofErr w:type="spellEnd"/>
          </w:p>
        </w:tc>
      </w:tr>
      <w:tr w:rsidR="00633B11" w14:paraId="289CB5D7" w14:textId="77777777">
        <w:trPr>
          <w:trHeight w:val="540"/>
        </w:trPr>
        <w:tc>
          <w:tcPr>
            <w:tcW w:w="1385" w:type="dxa"/>
          </w:tcPr>
          <w:p w14:paraId="289CB5D1" w14:textId="77777777" w:rsidR="00633B11" w:rsidRDefault="009B30DB">
            <w:pPr>
              <w:pStyle w:val="P68B1DB1-TableParagraph3"/>
              <w:spacing w:line="275" w:lineRule="exact"/>
              <w:ind w:left="105"/>
            </w:pPr>
            <w:r>
              <w:t>ECTS</w:t>
            </w:r>
          </w:p>
          <w:p w14:paraId="289CB5D2" w14:textId="77777777" w:rsidR="00633B11" w:rsidRDefault="009B30DB">
            <w:pPr>
              <w:pStyle w:val="P68B1DB1-TableParagraph3"/>
              <w:spacing w:line="257" w:lineRule="exact"/>
              <w:ind w:left="105"/>
            </w:pPr>
            <w:r>
              <w:t>Grade</w:t>
            </w:r>
          </w:p>
        </w:tc>
        <w:tc>
          <w:tcPr>
            <w:tcW w:w="1045" w:type="dxa"/>
          </w:tcPr>
          <w:p w14:paraId="289CB5D3" w14:textId="77777777" w:rsidR="00633B11" w:rsidRDefault="009B30DB">
            <w:pPr>
              <w:pStyle w:val="P68B1DB1-TableParagraph3"/>
              <w:spacing w:line="275" w:lineRule="exact"/>
            </w:pPr>
            <w:proofErr w:type="spellStart"/>
            <w:r>
              <w:t>Scores</w:t>
            </w:r>
            <w:proofErr w:type="spellEnd"/>
          </w:p>
        </w:tc>
        <w:tc>
          <w:tcPr>
            <w:tcW w:w="1699" w:type="dxa"/>
          </w:tcPr>
          <w:p w14:paraId="289CB5D4" w14:textId="77777777" w:rsidR="00633B11" w:rsidRDefault="009B30DB">
            <w:pPr>
              <w:pStyle w:val="P68B1DB1-TableParagraph3"/>
              <w:spacing w:before="2" w:line="276" w:lineRule="exact"/>
              <w:ind w:right="620"/>
            </w:pPr>
            <w:proofErr w:type="spellStart"/>
            <w:r>
              <w:t>Success</w:t>
            </w:r>
            <w:proofErr w:type="spellEnd"/>
            <w:r>
              <w:t xml:space="preserve"> </w:t>
            </w:r>
            <w:proofErr w:type="spellStart"/>
            <w:r>
              <w:t>Coefficient</w:t>
            </w:r>
            <w:proofErr w:type="spellEnd"/>
          </w:p>
        </w:tc>
        <w:tc>
          <w:tcPr>
            <w:tcW w:w="1968" w:type="dxa"/>
          </w:tcPr>
          <w:p w14:paraId="289CB5D5" w14:textId="77777777" w:rsidR="00633B11" w:rsidRDefault="009B30DB">
            <w:pPr>
              <w:pStyle w:val="P68B1DB1-TableParagraph3"/>
              <w:spacing w:before="2" w:line="276" w:lineRule="exact"/>
              <w:ind w:left="105" w:right="480"/>
            </w:pPr>
            <w:proofErr w:type="spellStart"/>
            <w:r>
              <w:t>Letter</w:t>
            </w:r>
            <w:proofErr w:type="spellEnd"/>
            <w:r>
              <w:t xml:space="preserve"> </w:t>
            </w:r>
            <w:proofErr w:type="spellStart"/>
            <w:r>
              <w:t>Success</w:t>
            </w:r>
            <w:proofErr w:type="spellEnd"/>
            <w:r>
              <w:t xml:space="preserve"> Grade</w:t>
            </w:r>
          </w:p>
        </w:tc>
        <w:tc>
          <w:tcPr>
            <w:tcW w:w="1844" w:type="dxa"/>
          </w:tcPr>
          <w:p w14:paraId="289CB5D6" w14:textId="77777777" w:rsidR="00633B11" w:rsidRDefault="009B30DB">
            <w:pPr>
              <w:pStyle w:val="P68B1DB1-TableParagraph3"/>
              <w:spacing w:line="275" w:lineRule="exact"/>
              <w:ind w:left="103"/>
            </w:pPr>
            <w:proofErr w:type="spellStart"/>
            <w:r>
              <w:t>Degree</w:t>
            </w:r>
            <w:proofErr w:type="spellEnd"/>
          </w:p>
        </w:tc>
      </w:tr>
      <w:tr w:rsidR="00633B11" w14:paraId="289CB5DD" w14:textId="77777777">
        <w:trPr>
          <w:trHeight w:val="257"/>
        </w:trPr>
        <w:tc>
          <w:tcPr>
            <w:tcW w:w="1385" w:type="dxa"/>
          </w:tcPr>
          <w:p w14:paraId="289CB5D8" w14:textId="77777777" w:rsidR="00633B11" w:rsidRDefault="009B30DB">
            <w:pPr>
              <w:pStyle w:val="P68B1DB1-TableParagraph4"/>
              <w:spacing w:line="253" w:lineRule="exact"/>
              <w:ind w:left="105"/>
            </w:pPr>
            <w:r>
              <w:t>A</w:t>
            </w:r>
          </w:p>
        </w:tc>
        <w:tc>
          <w:tcPr>
            <w:tcW w:w="1045" w:type="dxa"/>
          </w:tcPr>
          <w:p w14:paraId="289CB5D9" w14:textId="77777777" w:rsidR="00633B11" w:rsidRDefault="009B30DB">
            <w:pPr>
              <w:pStyle w:val="P68B1DB1-TableParagraph4"/>
              <w:spacing w:line="253" w:lineRule="exact"/>
            </w:pPr>
            <w:proofErr w:type="gramStart"/>
            <w:r>
              <w:t>95 -</w:t>
            </w:r>
            <w:proofErr w:type="gramEnd"/>
            <w:r>
              <w:t xml:space="preserve"> 100</w:t>
            </w:r>
          </w:p>
        </w:tc>
        <w:tc>
          <w:tcPr>
            <w:tcW w:w="1699" w:type="dxa"/>
          </w:tcPr>
          <w:p w14:paraId="289CB5DA" w14:textId="77777777" w:rsidR="00633B11" w:rsidRDefault="009B30DB">
            <w:pPr>
              <w:pStyle w:val="P68B1DB1-TableParagraph4"/>
              <w:spacing w:line="253" w:lineRule="exact"/>
            </w:pPr>
            <w:r>
              <w:t>3,77-4,0</w:t>
            </w:r>
          </w:p>
        </w:tc>
        <w:tc>
          <w:tcPr>
            <w:tcW w:w="1968" w:type="dxa"/>
          </w:tcPr>
          <w:p w14:paraId="289CB5DB" w14:textId="77777777" w:rsidR="00633B11" w:rsidRDefault="009B30DB">
            <w:pPr>
              <w:pStyle w:val="P68B1DB1-TableParagraph4"/>
              <w:spacing w:line="253" w:lineRule="exact"/>
              <w:ind w:left="105"/>
            </w:pPr>
            <w:r>
              <w:t>A</w:t>
            </w:r>
          </w:p>
        </w:tc>
        <w:tc>
          <w:tcPr>
            <w:tcW w:w="1844" w:type="dxa"/>
          </w:tcPr>
          <w:p w14:paraId="289CB5DC" w14:textId="77777777" w:rsidR="00633B11" w:rsidRDefault="009B30DB">
            <w:pPr>
              <w:pStyle w:val="P68B1DB1-TableParagraph4"/>
              <w:spacing w:line="253" w:lineRule="exact"/>
              <w:ind w:left="103"/>
            </w:pPr>
            <w:proofErr w:type="spellStart"/>
            <w:r>
              <w:t>Very</w:t>
            </w:r>
            <w:proofErr w:type="spellEnd"/>
            <w:r>
              <w:t xml:space="preserve"> </w:t>
            </w:r>
            <w:proofErr w:type="spellStart"/>
            <w:r>
              <w:t>Good</w:t>
            </w:r>
            <w:proofErr w:type="spellEnd"/>
          </w:p>
        </w:tc>
      </w:tr>
      <w:tr w:rsidR="00633B11" w14:paraId="289CB5E3" w14:textId="77777777">
        <w:trPr>
          <w:trHeight w:val="260"/>
        </w:trPr>
        <w:tc>
          <w:tcPr>
            <w:tcW w:w="1385" w:type="dxa"/>
          </w:tcPr>
          <w:p w14:paraId="289CB5DE" w14:textId="77777777" w:rsidR="00633B11" w:rsidRDefault="009B30DB">
            <w:pPr>
              <w:pStyle w:val="P68B1DB1-TableParagraph4"/>
              <w:ind w:left="105"/>
            </w:pPr>
            <w:r>
              <w:t>B</w:t>
            </w:r>
          </w:p>
        </w:tc>
        <w:tc>
          <w:tcPr>
            <w:tcW w:w="1045" w:type="dxa"/>
          </w:tcPr>
          <w:p w14:paraId="289CB5DF" w14:textId="77777777" w:rsidR="00633B11" w:rsidRDefault="009B30DB">
            <w:pPr>
              <w:pStyle w:val="P68B1DB1-TableParagraph4"/>
            </w:pPr>
            <w:r>
              <w:t>90-94</w:t>
            </w:r>
          </w:p>
        </w:tc>
        <w:tc>
          <w:tcPr>
            <w:tcW w:w="1699" w:type="dxa"/>
          </w:tcPr>
          <w:p w14:paraId="289CB5E0" w14:textId="77777777" w:rsidR="00633B11" w:rsidRDefault="009B30DB">
            <w:pPr>
              <w:pStyle w:val="P68B1DB1-TableParagraph4"/>
            </w:pPr>
            <w:r>
              <w:t>3,55-3,76</w:t>
            </w:r>
          </w:p>
        </w:tc>
        <w:tc>
          <w:tcPr>
            <w:tcW w:w="1968" w:type="dxa"/>
          </w:tcPr>
          <w:p w14:paraId="289CB5E1" w14:textId="77777777" w:rsidR="00633B11" w:rsidRDefault="009B30DB">
            <w:pPr>
              <w:pStyle w:val="P68B1DB1-TableParagraph4"/>
              <w:ind w:left="105"/>
            </w:pPr>
            <w:r>
              <w:t>A-</w:t>
            </w:r>
          </w:p>
        </w:tc>
        <w:tc>
          <w:tcPr>
            <w:tcW w:w="1844" w:type="dxa"/>
          </w:tcPr>
          <w:p w14:paraId="289CB5E2" w14:textId="77777777" w:rsidR="00633B11" w:rsidRDefault="009B30DB">
            <w:pPr>
              <w:pStyle w:val="P68B1DB1-TableParagraph4"/>
              <w:ind w:left="103"/>
            </w:pPr>
            <w:proofErr w:type="spellStart"/>
            <w:r>
              <w:t>Very</w:t>
            </w:r>
            <w:proofErr w:type="spellEnd"/>
            <w:r>
              <w:t xml:space="preserve"> </w:t>
            </w:r>
            <w:proofErr w:type="spellStart"/>
            <w:r>
              <w:t>Good</w:t>
            </w:r>
            <w:proofErr w:type="spellEnd"/>
          </w:p>
        </w:tc>
      </w:tr>
      <w:tr w:rsidR="00633B11" w14:paraId="289CB5E9" w14:textId="77777777">
        <w:trPr>
          <w:trHeight w:val="260"/>
        </w:trPr>
        <w:tc>
          <w:tcPr>
            <w:tcW w:w="1385" w:type="dxa"/>
          </w:tcPr>
          <w:p w14:paraId="289CB5E4" w14:textId="77777777" w:rsidR="00633B11" w:rsidRDefault="009B30DB">
            <w:pPr>
              <w:pStyle w:val="P68B1DB1-TableParagraph4"/>
              <w:spacing w:before="1" w:line="257" w:lineRule="exact"/>
              <w:ind w:left="105"/>
            </w:pPr>
            <w:r>
              <w:t>C</w:t>
            </w:r>
          </w:p>
        </w:tc>
        <w:tc>
          <w:tcPr>
            <w:tcW w:w="1045" w:type="dxa"/>
          </w:tcPr>
          <w:p w14:paraId="289CB5E5" w14:textId="77777777" w:rsidR="00633B11" w:rsidRDefault="009B30DB">
            <w:pPr>
              <w:pStyle w:val="P68B1DB1-TableParagraph4"/>
              <w:spacing w:before="1" w:line="257" w:lineRule="exact"/>
            </w:pPr>
            <w:r>
              <w:t>85-89</w:t>
            </w:r>
          </w:p>
        </w:tc>
        <w:tc>
          <w:tcPr>
            <w:tcW w:w="1699" w:type="dxa"/>
          </w:tcPr>
          <w:p w14:paraId="289CB5E6" w14:textId="77777777" w:rsidR="00633B11" w:rsidRDefault="009B30DB">
            <w:pPr>
              <w:pStyle w:val="P68B1DB1-TableParagraph4"/>
              <w:spacing w:before="1" w:line="257" w:lineRule="exact"/>
            </w:pPr>
            <w:r>
              <w:t>3,34-3,54</w:t>
            </w:r>
          </w:p>
        </w:tc>
        <w:tc>
          <w:tcPr>
            <w:tcW w:w="1968" w:type="dxa"/>
          </w:tcPr>
          <w:p w14:paraId="289CB5E7" w14:textId="77777777" w:rsidR="00633B11" w:rsidRDefault="009B30DB">
            <w:pPr>
              <w:pStyle w:val="P68B1DB1-TableParagraph4"/>
              <w:spacing w:before="1" w:line="257" w:lineRule="exact"/>
              <w:ind w:left="105"/>
            </w:pPr>
            <w:r>
              <w:t>B+</w:t>
            </w:r>
          </w:p>
        </w:tc>
        <w:tc>
          <w:tcPr>
            <w:tcW w:w="1844" w:type="dxa"/>
          </w:tcPr>
          <w:p w14:paraId="289CB5E8" w14:textId="77777777" w:rsidR="00633B11" w:rsidRDefault="009B30DB">
            <w:pPr>
              <w:pStyle w:val="P68B1DB1-TableParagraph4"/>
              <w:spacing w:before="1" w:line="257" w:lineRule="exact"/>
              <w:ind w:left="103"/>
            </w:pPr>
            <w:proofErr w:type="spellStart"/>
            <w:r>
              <w:t>Very</w:t>
            </w:r>
            <w:proofErr w:type="spellEnd"/>
            <w:r>
              <w:t xml:space="preserve"> </w:t>
            </w:r>
            <w:proofErr w:type="spellStart"/>
            <w:r>
              <w:t>Good</w:t>
            </w:r>
            <w:proofErr w:type="spellEnd"/>
          </w:p>
        </w:tc>
      </w:tr>
      <w:tr w:rsidR="00633B11" w14:paraId="289CB5EF" w14:textId="77777777">
        <w:trPr>
          <w:trHeight w:val="260"/>
        </w:trPr>
        <w:tc>
          <w:tcPr>
            <w:tcW w:w="1385" w:type="dxa"/>
          </w:tcPr>
          <w:p w14:paraId="289CB5EA" w14:textId="77777777" w:rsidR="00633B11" w:rsidRDefault="009B30DB">
            <w:pPr>
              <w:pStyle w:val="P68B1DB1-TableParagraph4"/>
              <w:ind w:left="105"/>
            </w:pPr>
            <w:r>
              <w:t>D</w:t>
            </w:r>
          </w:p>
        </w:tc>
        <w:tc>
          <w:tcPr>
            <w:tcW w:w="1045" w:type="dxa"/>
          </w:tcPr>
          <w:p w14:paraId="289CB5EB" w14:textId="77777777" w:rsidR="00633B11" w:rsidRDefault="009B30DB">
            <w:pPr>
              <w:pStyle w:val="P68B1DB1-TableParagraph4"/>
            </w:pPr>
            <w:r>
              <w:t>80-84</w:t>
            </w:r>
          </w:p>
        </w:tc>
        <w:tc>
          <w:tcPr>
            <w:tcW w:w="1699" w:type="dxa"/>
          </w:tcPr>
          <w:p w14:paraId="289CB5EC" w14:textId="77777777" w:rsidR="00633B11" w:rsidRDefault="009B30DB">
            <w:pPr>
              <w:pStyle w:val="P68B1DB1-TableParagraph4"/>
            </w:pPr>
            <w:r>
              <w:t>3,13-3,33</w:t>
            </w:r>
          </w:p>
        </w:tc>
        <w:tc>
          <w:tcPr>
            <w:tcW w:w="1968" w:type="dxa"/>
          </w:tcPr>
          <w:p w14:paraId="289CB5ED" w14:textId="77777777" w:rsidR="00633B11" w:rsidRDefault="009B30DB">
            <w:pPr>
              <w:pStyle w:val="P68B1DB1-TableParagraph4"/>
              <w:ind w:left="105"/>
            </w:pPr>
            <w:r>
              <w:t>B</w:t>
            </w:r>
          </w:p>
        </w:tc>
        <w:tc>
          <w:tcPr>
            <w:tcW w:w="1844" w:type="dxa"/>
          </w:tcPr>
          <w:p w14:paraId="289CB5EE" w14:textId="77777777" w:rsidR="00633B11" w:rsidRDefault="009B30DB">
            <w:pPr>
              <w:pStyle w:val="P68B1DB1-TableParagraph4"/>
              <w:ind w:left="103"/>
            </w:pPr>
            <w:proofErr w:type="spellStart"/>
            <w:r>
              <w:t>Good</w:t>
            </w:r>
            <w:proofErr w:type="spellEnd"/>
          </w:p>
        </w:tc>
      </w:tr>
      <w:tr w:rsidR="00633B11" w14:paraId="289CB5F5" w14:textId="77777777">
        <w:trPr>
          <w:trHeight w:val="260"/>
        </w:trPr>
        <w:tc>
          <w:tcPr>
            <w:tcW w:w="1385" w:type="dxa"/>
          </w:tcPr>
          <w:p w14:paraId="289CB5F0" w14:textId="77777777" w:rsidR="00633B11" w:rsidRDefault="009B30DB">
            <w:pPr>
              <w:pStyle w:val="P68B1DB1-TableParagraph4"/>
              <w:ind w:left="105"/>
            </w:pPr>
            <w:r>
              <w:t>E</w:t>
            </w:r>
          </w:p>
        </w:tc>
        <w:tc>
          <w:tcPr>
            <w:tcW w:w="1045" w:type="dxa"/>
          </w:tcPr>
          <w:p w14:paraId="289CB5F1" w14:textId="77777777" w:rsidR="00633B11" w:rsidRDefault="009B30DB">
            <w:pPr>
              <w:pStyle w:val="P68B1DB1-TableParagraph4"/>
            </w:pPr>
            <w:r>
              <w:t>75-79</w:t>
            </w:r>
          </w:p>
        </w:tc>
        <w:tc>
          <w:tcPr>
            <w:tcW w:w="1699" w:type="dxa"/>
          </w:tcPr>
          <w:p w14:paraId="289CB5F2" w14:textId="77777777" w:rsidR="00633B11" w:rsidRDefault="009B30DB">
            <w:pPr>
              <w:pStyle w:val="P68B1DB1-TableParagraph4"/>
            </w:pPr>
            <w:r>
              <w:t>2,91-3,12</w:t>
            </w:r>
          </w:p>
        </w:tc>
        <w:tc>
          <w:tcPr>
            <w:tcW w:w="1968" w:type="dxa"/>
          </w:tcPr>
          <w:p w14:paraId="289CB5F3" w14:textId="77777777" w:rsidR="00633B11" w:rsidRDefault="009B30DB">
            <w:pPr>
              <w:pStyle w:val="P68B1DB1-TableParagraph4"/>
              <w:ind w:left="105"/>
            </w:pPr>
            <w:r>
              <w:t>B-</w:t>
            </w:r>
          </w:p>
        </w:tc>
        <w:tc>
          <w:tcPr>
            <w:tcW w:w="1844" w:type="dxa"/>
          </w:tcPr>
          <w:p w14:paraId="289CB5F4" w14:textId="77777777" w:rsidR="00633B11" w:rsidRDefault="009B30DB">
            <w:pPr>
              <w:pStyle w:val="P68B1DB1-TableParagraph4"/>
              <w:ind w:left="103"/>
            </w:pPr>
            <w:proofErr w:type="spellStart"/>
            <w:r>
              <w:t>Good</w:t>
            </w:r>
            <w:proofErr w:type="spellEnd"/>
          </w:p>
        </w:tc>
      </w:tr>
      <w:tr w:rsidR="00633B11" w14:paraId="289CB5FB" w14:textId="77777777">
        <w:trPr>
          <w:trHeight w:val="260"/>
        </w:trPr>
        <w:tc>
          <w:tcPr>
            <w:tcW w:w="1385" w:type="dxa"/>
          </w:tcPr>
          <w:p w14:paraId="289CB5F6" w14:textId="77777777" w:rsidR="00633B11" w:rsidRDefault="009B30DB">
            <w:pPr>
              <w:pStyle w:val="P68B1DB1-TableParagraph4"/>
              <w:ind w:left="105"/>
            </w:pPr>
            <w:proofErr w:type="spellStart"/>
            <w:proofErr w:type="gramStart"/>
            <w:r>
              <w:t>F,Fx</w:t>
            </w:r>
            <w:proofErr w:type="spellEnd"/>
            <w:proofErr w:type="gramEnd"/>
          </w:p>
        </w:tc>
        <w:tc>
          <w:tcPr>
            <w:tcW w:w="1045" w:type="dxa"/>
          </w:tcPr>
          <w:p w14:paraId="289CB5F7" w14:textId="77777777" w:rsidR="00633B11" w:rsidRDefault="009B30DB">
            <w:pPr>
              <w:pStyle w:val="P68B1DB1-TableParagraph4"/>
            </w:pPr>
            <w:r>
              <w:t>70-74</w:t>
            </w:r>
          </w:p>
        </w:tc>
        <w:tc>
          <w:tcPr>
            <w:tcW w:w="1699" w:type="dxa"/>
          </w:tcPr>
          <w:p w14:paraId="289CB5F8" w14:textId="77777777" w:rsidR="00633B11" w:rsidRDefault="009B30DB">
            <w:pPr>
              <w:pStyle w:val="P68B1DB1-TableParagraph4"/>
            </w:pPr>
            <w:r>
              <w:t>&lt;2,91</w:t>
            </w:r>
          </w:p>
        </w:tc>
        <w:tc>
          <w:tcPr>
            <w:tcW w:w="1968" w:type="dxa"/>
          </w:tcPr>
          <w:p w14:paraId="289CB5F9" w14:textId="77777777" w:rsidR="00633B11" w:rsidRDefault="009B30DB">
            <w:pPr>
              <w:pStyle w:val="P68B1DB1-TableParagraph4"/>
              <w:ind w:left="105"/>
            </w:pPr>
            <w:r>
              <w:t>F (F1-F2)</w:t>
            </w:r>
          </w:p>
        </w:tc>
        <w:tc>
          <w:tcPr>
            <w:tcW w:w="1844" w:type="dxa"/>
          </w:tcPr>
          <w:p w14:paraId="289CB5FA" w14:textId="77777777" w:rsidR="00633B11" w:rsidRDefault="009B30DB">
            <w:pPr>
              <w:pStyle w:val="P68B1DB1-TableParagraph4"/>
              <w:ind w:left="103"/>
            </w:pPr>
            <w:proofErr w:type="spellStart"/>
            <w:r>
              <w:t>Failure</w:t>
            </w:r>
            <w:proofErr w:type="spellEnd"/>
          </w:p>
        </w:tc>
      </w:tr>
    </w:tbl>
    <w:p w14:paraId="289CB5FC" w14:textId="77777777" w:rsidR="00633B11" w:rsidRDefault="00633B11">
      <w:pPr>
        <w:pStyle w:val="GvdeMetni"/>
        <w:spacing w:before="6"/>
        <w:ind w:left="0" w:firstLine="0"/>
        <w:jc w:val="left"/>
        <w:rPr>
          <w:sz w:val="27"/>
        </w:rPr>
      </w:pPr>
    </w:p>
    <w:p w14:paraId="289CB5FD" w14:textId="7A0F8DEB" w:rsidR="00633B11" w:rsidRDefault="009B30DB" w:rsidP="00511AAF">
      <w:pPr>
        <w:pStyle w:val="Balk1"/>
        <w:jc w:val="center"/>
      </w:pPr>
      <w:proofErr w:type="spellStart"/>
      <w:r>
        <w:t>Procedures</w:t>
      </w:r>
      <w:proofErr w:type="spellEnd"/>
      <w:r>
        <w:t xml:space="preserve"> of </w:t>
      </w:r>
      <w:proofErr w:type="spellStart"/>
      <w:r w:rsidR="00511AAF">
        <w:t>S</w:t>
      </w:r>
      <w:r>
        <w:t>tudents</w:t>
      </w:r>
      <w:proofErr w:type="spellEnd"/>
      <w:r>
        <w:t xml:space="preserve"> </w:t>
      </w:r>
      <w:proofErr w:type="spellStart"/>
      <w:r w:rsidR="00511AAF">
        <w:t>C</w:t>
      </w:r>
      <w:r>
        <w:t>oming</w:t>
      </w:r>
      <w:proofErr w:type="spellEnd"/>
      <w:r>
        <w:t xml:space="preserve"> </w:t>
      </w:r>
      <w:proofErr w:type="spellStart"/>
      <w:r w:rsidR="00511AAF">
        <w:t>W</w:t>
      </w:r>
      <w:r>
        <w:t>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 w:rsidR="00511AAF">
        <w:t>S</w:t>
      </w:r>
      <w:r>
        <w:t>cope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 w:rsidR="00511AAF">
        <w:t>P</w:t>
      </w:r>
      <w:r w:rsidR="00853849">
        <w:t>rogramme</w:t>
      </w:r>
      <w:proofErr w:type="spellEnd"/>
    </w:p>
    <w:p w14:paraId="289CB5FE" w14:textId="25A19264" w:rsidR="00633B11" w:rsidRDefault="009B30DB">
      <w:pPr>
        <w:pStyle w:val="GvdeMetni"/>
        <w:spacing w:before="43" w:line="276" w:lineRule="auto"/>
        <w:ind w:right="115" w:firstLine="707"/>
      </w:pPr>
      <w:r>
        <w:rPr>
          <w:b/>
        </w:rPr>
        <w:t xml:space="preserve">ARTICLE </w:t>
      </w:r>
      <w:proofErr w:type="gramStart"/>
      <w:r>
        <w:rPr>
          <w:b/>
        </w:rPr>
        <w:t>8 -</w:t>
      </w:r>
      <w:proofErr w:type="gramEnd"/>
      <w:r>
        <w:rPr>
          <w:b/>
        </w:rPr>
        <w:t xml:space="preserve"> </w:t>
      </w:r>
      <w:r>
        <w:t xml:space="preserve">(1)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applications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come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scope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Erasmus</w:t>
      </w:r>
      <w:proofErr w:type="spellEnd"/>
      <w:r>
        <w:t xml:space="preserve"> </w:t>
      </w:r>
      <w:proofErr w:type="spellStart"/>
      <w:r w:rsidR="00853849">
        <w:t>programme</w:t>
      </w:r>
      <w:proofErr w:type="spellEnd"/>
      <w:r>
        <w:t xml:space="preserve">, </w:t>
      </w:r>
      <w:proofErr w:type="spellStart"/>
      <w:r>
        <w:t>made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determined</w:t>
      </w:r>
      <w:proofErr w:type="spellEnd"/>
      <w:r>
        <w:t xml:space="preserve"> </w:t>
      </w:r>
      <w:proofErr w:type="spellStart"/>
      <w:r>
        <w:t>procedures</w:t>
      </w:r>
      <w:proofErr w:type="spellEnd"/>
      <w:r>
        <w:t xml:space="preserve">, </w:t>
      </w:r>
      <w:proofErr w:type="spellStart"/>
      <w:r>
        <w:t>are</w:t>
      </w:r>
      <w:proofErr w:type="spellEnd"/>
      <w:r>
        <w:t xml:space="preserve"> </w:t>
      </w:r>
      <w:proofErr w:type="spellStart"/>
      <w:r>
        <w:t>forwarded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relevant</w:t>
      </w:r>
      <w:proofErr w:type="spellEnd"/>
      <w:r>
        <w:t xml:space="preserve"> </w:t>
      </w:r>
      <w:proofErr w:type="spellStart"/>
      <w:r>
        <w:t>unit</w:t>
      </w:r>
      <w:proofErr w:type="spellEnd"/>
      <w:r>
        <w:t xml:space="preserve"> </w:t>
      </w:r>
      <w:proofErr w:type="spellStart"/>
      <w:r>
        <w:t>coordinator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Erasmus</w:t>
      </w:r>
      <w:proofErr w:type="spellEnd"/>
      <w:r>
        <w:t xml:space="preserve"> </w:t>
      </w:r>
      <w:proofErr w:type="spellStart"/>
      <w:r>
        <w:t>Institution</w:t>
      </w:r>
      <w:proofErr w:type="spellEnd"/>
      <w:r>
        <w:t xml:space="preserve"> </w:t>
      </w:r>
      <w:proofErr w:type="spellStart"/>
      <w:r>
        <w:t>Coordinator</w:t>
      </w:r>
      <w:proofErr w:type="spellEnd"/>
      <w:r>
        <w:t xml:space="preserve">. </w:t>
      </w:r>
      <w:proofErr w:type="spellStart"/>
      <w:r w:rsidR="00DB4ACC">
        <w:t>The</w:t>
      </w:r>
      <w:proofErr w:type="spellEnd"/>
      <w:r w:rsidR="00DB4ACC">
        <w:t xml:space="preserve"> </w:t>
      </w:r>
      <w:proofErr w:type="spellStart"/>
      <w:r w:rsidR="00DB4ACC">
        <w:t>Institutional</w:t>
      </w:r>
      <w:proofErr w:type="spellEnd"/>
      <w:r w:rsidR="00DB4ACC">
        <w:t xml:space="preserve"> </w:t>
      </w:r>
      <w:proofErr w:type="spellStart"/>
      <w:r w:rsidR="00DB4ACC">
        <w:t>Coordinator</w:t>
      </w:r>
      <w:proofErr w:type="spellEnd"/>
      <w:r w:rsidR="00DB4ACC">
        <w:t xml:space="preserve"> </w:t>
      </w:r>
      <w:proofErr w:type="spellStart"/>
      <w:r w:rsidR="00DB4ACC">
        <w:t>sends</w:t>
      </w:r>
      <w:proofErr w:type="spellEnd"/>
      <w:r w:rsidR="00DB4ACC">
        <w:t xml:space="preserve"> </w:t>
      </w:r>
      <w:proofErr w:type="spellStart"/>
      <w:r w:rsidR="00DB4ACC">
        <w:t>students</w:t>
      </w:r>
      <w:proofErr w:type="spellEnd"/>
      <w:r w:rsidR="00DB4ACC">
        <w:t xml:space="preserve"> </w:t>
      </w:r>
      <w:proofErr w:type="spellStart"/>
      <w:r w:rsidR="00DB4ACC">
        <w:t>whose</w:t>
      </w:r>
      <w:proofErr w:type="spellEnd"/>
      <w:r w:rsidR="00DB4ACC">
        <w:t xml:space="preserve"> </w:t>
      </w:r>
      <w:proofErr w:type="spellStart"/>
      <w:r w:rsidR="00DB4ACC">
        <w:t>applications</w:t>
      </w:r>
      <w:proofErr w:type="spellEnd"/>
      <w:r w:rsidR="00DB4ACC">
        <w:t xml:space="preserve"> </w:t>
      </w:r>
      <w:proofErr w:type="spellStart"/>
      <w:r w:rsidR="00DB4ACC">
        <w:t>are</w:t>
      </w:r>
      <w:proofErr w:type="spellEnd"/>
      <w:r w:rsidR="00DB4ACC">
        <w:t xml:space="preserve"> </w:t>
      </w:r>
      <w:proofErr w:type="spellStart"/>
      <w:r w:rsidR="00DB4ACC">
        <w:t>accepted</w:t>
      </w:r>
      <w:proofErr w:type="spellEnd"/>
      <w:r w:rsidR="00DB4ACC">
        <w:t xml:space="preserve"> </w:t>
      </w:r>
      <w:proofErr w:type="spellStart"/>
      <w:r w:rsidR="00DB4ACC">
        <w:t>after</w:t>
      </w:r>
      <w:proofErr w:type="spellEnd"/>
      <w:r w:rsidR="00DB4ACC">
        <w:t xml:space="preserve"> </w:t>
      </w:r>
      <w:proofErr w:type="spellStart"/>
      <w:r w:rsidR="00DB4ACC">
        <w:t>being</w:t>
      </w:r>
      <w:proofErr w:type="spellEnd"/>
      <w:r w:rsidR="00DB4ACC">
        <w:t xml:space="preserve"> </w:t>
      </w:r>
      <w:proofErr w:type="spellStart"/>
      <w:r w:rsidR="00DB4ACC">
        <w:t>evaluated</w:t>
      </w:r>
      <w:proofErr w:type="spellEnd"/>
      <w:r w:rsidR="00DB4ACC">
        <w:t xml:space="preserve"> </w:t>
      </w:r>
      <w:proofErr w:type="spellStart"/>
      <w:r w:rsidR="00DB4ACC">
        <w:t>by</w:t>
      </w:r>
      <w:proofErr w:type="spellEnd"/>
      <w:r w:rsidR="00DB4ACC">
        <w:t xml:space="preserve"> </w:t>
      </w:r>
      <w:proofErr w:type="spellStart"/>
      <w:r w:rsidR="00DB4ACC">
        <w:t>the</w:t>
      </w:r>
      <w:proofErr w:type="spellEnd"/>
      <w:r w:rsidR="00DB4ACC">
        <w:t xml:space="preserve"> </w:t>
      </w:r>
      <w:proofErr w:type="spellStart"/>
      <w:r w:rsidR="00DB4ACC">
        <w:t>units</w:t>
      </w:r>
      <w:proofErr w:type="spellEnd"/>
      <w:r w:rsidR="00DB4ACC">
        <w:t xml:space="preserve"> an </w:t>
      </w:r>
      <w:proofErr w:type="spellStart"/>
      <w:r w:rsidR="00DB4ACC">
        <w:t>acceptance</w:t>
      </w:r>
      <w:proofErr w:type="spellEnd"/>
      <w:r w:rsidR="00DB4ACC">
        <w:t xml:space="preserve"> </w:t>
      </w:r>
      <w:proofErr w:type="spellStart"/>
      <w:r w:rsidR="00DB4ACC">
        <w:t>lette</w:t>
      </w:r>
      <w:r>
        <w:t>r</w:t>
      </w:r>
      <w:proofErr w:type="spellEnd"/>
      <w:r>
        <w:t>.</w:t>
      </w:r>
    </w:p>
    <w:p w14:paraId="289CB5FF" w14:textId="566EDC40" w:rsidR="00633B11" w:rsidRDefault="009B30DB">
      <w:pPr>
        <w:pStyle w:val="P68B1DB1-ListParagraph2"/>
        <w:numPr>
          <w:ilvl w:val="0"/>
          <w:numId w:val="2"/>
        </w:numPr>
        <w:tabs>
          <w:tab w:val="left" w:pos="1177"/>
        </w:tabs>
        <w:spacing w:before="3" w:line="276" w:lineRule="auto"/>
        <w:ind w:right="118" w:firstLine="708"/>
        <w:jc w:val="both"/>
      </w:pPr>
      <w:proofErr w:type="spellStart"/>
      <w:r>
        <w:t>Procedures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as </w:t>
      </w:r>
      <w:proofErr w:type="spellStart"/>
      <w:r>
        <w:t>taking</w:t>
      </w:r>
      <w:proofErr w:type="spellEnd"/>
      <w:r>
        <w:t xml:space="preserve"> </w:t>
      </w:r>
      <w:proofErr w:type="spellStart"/>
      <w:r>
        <w:t>courses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organizing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 w:rsidR="00853849">
        <w:t>programme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incoming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carried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relevant</w:t>
      </w:r>
      <w:proofErr w:type="spellEnd"/>
      <w:r>
        <w:t xml:space="preserve"> </w:t>
      </w:r>
      <w:proofErr w:type="spellStart"/>
      <w:r>
        <w:t>unit</w:t>
      </w:r>
      <w:proofErr w:type="spellEnd"/>
      <w:r>
        <w:t xml:space="preserve"> </w:t>
      </w:r>
      <w:proofErr w:type="spellStart"/>
      <w:r>
        <w:t>coordinator</w:t>
      </w:r>
      <w:proofErr w:type="spellEnd"/>
      <w:r>
        <w:t xml:space="preserve">. </w:t>
      </w:r>
      <w:proofErr w:type="spellStart"/>
      <w:r>
        <w:t>In</w:t>
      </w:r>
      <w:proofErr w:type="spellEnd"/>
      <w:r>
        <w:t xml:space="preserve"> </w:t>
      </w:r>
      <w:proofErr w:type="spellStart"/>
      <w:r>
        <w:t>addition</w:t>
      </w:r>
      <w:proofErr w:type="spellEnd"/>
      <w:r>
        <w:t xml:space="preserve">, a </w:t>
      </w:r>
      <w:proofErr w:type="spellStart"/>
      <w:r>
        <w:t>faculty</w:t>
      </w:r>
      <w:proofErr w:type="spellEnd"/>
      <w:r>
        <w:t xml:space="preserve"> </w:t>
      </w:r>
      <w:proofErr w:type="spellStart"/>
      <w:r>
        <w:t>member</w:t>
      </w:r>
      <w:proofErr w:type="spellEnd"/>
      <w:r>
        <w:t xml:space="preserve"> is </w:t>
      </w:r>
      <w:proofErr w:type="spellStart"/>
      <w:r>
        <w:t>appointed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advise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>.</w:t>
      </w:r>
    </w:p>
    <w:p w14:paraId="289CB600" w14:textId="2498BD4F" w:rsidR="00633B11" w:rsidRDefault="009B30DB">
      <w:pPr>
        <w:pStyle w:val="P68B1DB1-ListParagraph2"/>
        <w:numPr>
          <w:ilvl w:val="0"/>
          <w:numId w:val="2"/>
        </w:numPr>
        <w:tabs>
          <w:tab w:val="left" w:pos="1197"/>
        </w:tabs>
        <w:spacing w:line="276" w:lineRule="auto"/>
        <w:ind w:firstLine="708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 xml:space="preserve"> of </w:t>
      </w:r>
      <w:proofErr w:type="spellStart"/>
      <w:r>
        <w:t>instruction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courses</w:t>
      </w:r>
      <w:proofErr w:type="spellEnd"/>
      <w:r>
        <w:t xml:space="preserve"> </w:t>
      </w:r>
      <w:proofErr w:type="spellStart"/>
      <w:r>
        <w:t>incoming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attend</w:t>
      </w:r>
      <w:proofErr w:type="spellEnd"/>
      <w:r>
        <w:t xml:space="preserve"> is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 as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 xml:space="preserve"> of </w:t>
      </w:r>
      <w:proofErr w:type="spellStart"/>
      <w:r>
        <w:t>instruction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relevant</w:t>
      </w:r>
      <w:proofErr w:type="spellEnd"/>
      <w:r>
        <w:t xml:space="preserve"> </w:t>
      </w:r>
      <w:proofErr w:type="spellStart"/>
      <w:r>
        <w:t>department</w:t>
      </w:r>
      <w:proofErr w:type="spellEnd"/>
      <w:r>
        <w:t>/</w:t>
      </w:r>
      <w:proofErr w:type="spellStart"/>
      <w:r w:rsidR="00853849">
        <w:t>programme</w:t>
      </w:r>
      <w:proofErr w:type="spellEnd"/>
      <w:r>
        <w:t xml:space="preserve">. </w:t>
      </w:r>
      <w:proofErr w:type="spellStart"/>
      <w:r>
        <w:t>However</w:t>
      </w:r>
      <w:proofErr w:type="spellEnd"/>
      <w:r>
        <w:t xml:space="preserve">,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courses</w:t>
      </w:r>
      <w:proofErr w:type="spellEnd"/>
      <w:r>
        <w:t xml:space="preserve"> </w:t>
      </w:r>
      <w:proofErr w:type="spellStart"/>
      <w:r>
        <w:t>given</w:t>
      </w:r>
      <w:proofErr w:type="spellEnd"/>
      <w:r>
        <w:t xml:space="preserve"> in </w:t>
      </w:r>
      <w:proofErr w:type="spellStart"/>
      <w:r>
        <w:t>Turkish</w:t>
      </w:r>
      <w:proofErr w:type="spellEnd"/>
      <w:r>
        <w:t xml:space="preserve">; </w:t>
      </w:r>
      <w:proofErr w:type="spellStart"/>
      <w:r>
        <w:t>It</w:t>
      </w:r>
      <w:proofErr w:type="spellEnd"/>
      <w:r>
        <w:t xml:space="preserve"> is </w:t>
      </w:r>
      <w:proofErr w:type="spellStart"/>
      <w:r>
        <w:t>possible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lecturer</w:t>
      </w:r>
      <w:proofErr w:type="spellEnd"/>
      <w:r>
        <w:t xml:space="preserve"> </w:t>
      </w:r>
      <w:proofErr w:type="spellStart"/>
      <w:r>
        <w:t>giving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authorize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write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exams</w:t>
      </w:r>
      <w:proofErr w:type="spellEnd"/>
      <w:r>
        <w:t xml:space="preserve"> </w:t>
      </w:r>
      <w:proofErr w:type="spellStart"/>
      <w:r>
        <w:t>and</w:t>
      </w:r>
      <w:proofErr w:type="spellEnd"/>
      <w:r>
        <w:t>/</w:t>
      </w:r>
      <w:proofErr w:type="spellStart"/>
      <w:r>
        <w:t>or</w:t>
      </w:r>
      <w:proofErr w:type="spellEnd"/>
      <w:r>
        <w:t xml:space="preserve"> </w:t>
      </w:r>
      <w:proofErr w:type="spellStart"/>
      <w:r>
        <w:t>homework</w:t>
      </w:r>
      <w:proofErr w:type="spellEnd"/>
      <w:r>
        <w:t xml:space="preserve"> in a </w:t>
      </w:r>
      <w:proofErr w:type="spellStart"/>
      <w:r>
        <w:t>foreign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 xml:space="preserve"> in </w:t>
      </w:r>
      <w:proofErr w:type="spellStart"/>
      <w:r>
        <w:t>order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enable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follow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course</w:t>
      </w:r>
      <w:proofErr w:type="spellEnd"/>
      <w:r>
        <w:t>.</w:t>
      </w:r>
    </w:p>
    <w:p w14:paraId="289CB601" w14:textId="1BF47FBE" w:rsidR="00633B11" w:rsidRDefault="009B30DB">
      <w:pPr>
        <w:pStyle w:val="P68B1DB1-ListParagraph2"/>
        <w:numPr>
          <w:ilvl w:val="0"/>
          <w:numId w:val="2"/>
        </w:numPr>
        <w:tabs>
          <w:tab w:val="left" w:pos="1245"/>
        </w:tabs>
        <w:spacing w:line="276" w:lineRule="auto"/>
        <w:ind w:right="114" w:firstLine="708"/>
        <w:jc w:val="both"/>
      </w:pPr>
      <w:proofErr w:type="spellStart"/>
      <w:r>
        <w:t>Students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complete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coordination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institution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given</w:t>
      </w:r>
      <w:proofErr w:type="spellEnd"/>
      <w:r>
        <w:t xml:space="preserve"> a </w:t>
      </w:r>
      <w:proofErr w:type="spellStart"/>
      <w:r>
        <w:t>Certificate</w:t>
      </w:r>
      <w:proofErr w:type="spellEnd"/>
      <w:r>
        <w:t xml:space="preserve"> of </w:t>
      </w:r>
      <w:proofErr w:type="spellStart"/>
      <w:r>
        <w:t>Attendance</w:t>
      </w:r>
      <w:proofErr w:type="spellEnd"/>
      <w:r>
        <w:t xml:space="preserve"> </w:t>
      </w:r>
      <w:proofErr w:type="spellStart"/>
      <w:r>
        <w:t>indicating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period</w:t>
      </w:r>
      <w:proofErr w:type="spellEnd"/>
      <w:r>
        <w:t xml:space="preserve"> of </w:t>
      </w:r>
      <w:proofErr w:type="spellStart"/>
      <w:r w:rsidR="00DB4ACC">
        <w:t>educa</w:t>
      </w:r>
      <w:r>
        <w:t>tion</w:t>
      </w:r>
      <w:proofErr w:type="spellEnd"/>
      <w:r>
        <w:t xml:space="preserve">.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complete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 w:rsidR="00853849">
        <w:t>programme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given</w:t>
      </w:r>
      <w:proofErr w:type="spellEnd"/>
      <w:r>
        <w:t xml:space="preserve"> a </w:t>
      </w:r>
      <w:proofErr w:type="spellStart"/>
      <w:r>
        <w:t>transcript</w:t>
      </w:r>
      <w:proofErr w:type="spellEnd"/>
      <w:r>
        <w:t xml:space="preserve"> </w:t>
      </w:r>
      <w:proofErr w:type="spellStart"/>
      <w:r>
        <w:t>showing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courses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grades</w:t>
      </w:r>
      <w:proofErr w:type="spellEnd"/>
      <w:r>
        <w:t xml:space="preserve"> in English.</w:t>
      </w:r>
    </w:p>
    <w:p w14:paraId="289CB602" w14:textId="77777777" w:rsidR="00633B11" w:rsidRDefault="00633B11">
      <w:pPr>
        <w:pStyle w:val="GvdeMetni"/>
        <w:ind w:left="0" w:firstLine="0"/>
        <w:jc w:val="left"/>
      </w:pPr>
    </w:p>
    <w:p w14:paraId="289CB603" w14:textId="77777777" w:rsidR="00633B11" w:rsidRDefault="009B30DB">
      <w:pPr>
        <w:pStyle w:val="Balk1"/>
        <w:ind w:left="2281" w:right="1578"/>
        <w:jc w:val="center"/>
      </w:pPr>
      <w:r>
        <w:t>THIRD SECTION</w:t>
      </w:r>
    </w:p>
    <w:p w14:paraId="289CB604" w14:textId="77777777" w:rsidR="00633B11" w:rsidRDefault="00633B11">
      <w:pPr>
        <w:pStyle w:val="GvdeMetni"/>
        <w:spacing w:before="10"/>
        <w:ind w:left="0" w:firstLine="0"/>
        <w:jc w:val="left"/>
        <w:rPr>
          <w:b/>
          <w:sz w:val="23"/>
        </w:rPr>
      </w:pPr>
    </w:p>
    <w:p w14:paraId="289CB605" w14:textId="77777777" w:rsidR="00633B11" w:rsidRDefault="009B30DB" w:rsidP="00511AAF">
      <w:pPr>
        <w:pStyle w:val="P68B1DB1-Normal1"/>
        <w:ind w:left="824"/>
        <w:jc w:val="center"/>
      </w:pPr>
      <w:proofErr w:type="spellStart"/>
      <w:r>
        <w:t>Erasmus</w:t>
      </w:r>
      <w:proofErr w:type="spellEnd"/>
      <w:r>
        <w:t xml:space="preserve"> </w:t>
      </w:r>
      <w:proofErr w:type="spellStart"/>
      <w:r>
        <w:t>Staff</w:t>
      </w:r>
      <w:proofErr w:type="spellEnd"/>
      <w:r>
        <w:t xml:space="preserve"> </w:t>
      </w:r>
      <w:proofErr w:type="spellStart"/>
      <w:r>
        <w:t>Mobility</w:t>
      </w:r>
      <w:proofErr w:type="spellEnd"/>
    </w:p>
    <w:p w14:paraId="289CB606" w14:textId="725F0F2F" w:rsidR="00633B11" w:rsidRDefault="009B30DB">
      <w:pPr>
        <w:pStyle w:val="GvdeMetni"/>
        <w:spacing w:before="40" w:line="276" w:lineRule="auto"/>
        <w:ind w:right="116" w:firstLine="707"/>
      </w:pPr>
      <w:r>
        <w:rPr>
          <w:b/>
        </w:rPr>
        <w:t xml:space="preserve">ARTICLE </w:t>
      </w:r>
      <w:proofErr w:type="gramStart"/>
      <w:r>
        <w:rPr>
          <w:b/>
        </w:rPr>
        <w:t>9 -</w:t>
      </w:r>
      <w:proofErr w:type="gramEnd"/>
      <w:r>
        <w:rPr>
          <w:b/>
        </w:rPr>
        <w:t xml:space="preserve"> </w:t>
      </w:r>
      <w:r>
        <w:t xml:space="preserve">(1) </w:t>
      </w:r>
      <w:proofErr w:type="spellStart"/>
      <w:r>
        <w:t>Staff</w:t>
      </w:r>
      <w:proofErr w:type="spellEnd"/>
      <w:r>
        <w:t xml:space="preserve"> </w:t>
      </w:r>
      <w:proofErr w:type="spellStart"/>
      <w:r>
        <w:t>Mobility</w:t>
      </w:r>
      <w:proofErr w:type="spellEnd"/>
      <w:r>
        <w:t xml:space="preserve"> </w:t>
      </w:r>
      <w:proofErr w:type="spellStart"/>
      <w:r>
        <w:t>includes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types</w:t>
      </w:r>
      <w:proofErr w:type="spellEnd"/>
      <w:r>
        <w:t xml:space="preserve"> of </w:t>
      </w:r>
      <w:proofErr w:type="spellStart"/>
      <w:r>
        <w:t>mobility</w:t>
      </w:r>
      <w:proofErr w:type="spellEnd"/>
      <w:r>
        <w:t xml:space="preserve">, </w:t>
      </w:r>
      <w:proofErr w:type="spellStart"/>
      <w:r>
        <w:t>namely</w:t>
      </w:r>
      <w:proofErr w:type="spellEnd"/>
      <w:r>
        <w:t xml:space="preserve"> </w:t>
      </w:r>
      <w:proofErr w:type="spellStart"/>
      <w:r>
        <w:t>Study</w:t>
      </w:r>
      <w:proofErr w:type="spellEnd"/>
      <w:r>
        <w:t xml:space="preserve"> </w:t>
      </w:r>
      <w:proofErr w:type="spellStart"/>
      <w:r>
        <w:t>Mobility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Staff</w:t>
      </w:r>
      <w:proofErr w:type="spellEnd"/>
      <w:r>
        <w:t xml:space="preserve"> Training </w:t>
      </w:r>
      <w:proofErr w:type="spellStart"/>
      <w:r>
        <w:t>Mobility</w:t>
      </w:r>
      <w:proofErr w:type="spellEnd"/>
      <w:r>
        <w:t xml:space="preserve">.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staff</w:t>
      </w:r>
      <w:proofErr w:type="spellEnd"/>
      <w:r>
        <w:t xml:space="preserve"> </w:t>
      </w:r>
      <w:proofErr w:type="spellStart"/>
      <w:r>
        <w:t>mobility</w:t>
      </w:r>
      <w:proofErr w:type="spellEnd"/>
      <w:r>
        <w:t xml:space="preserve">; Active </w:t>
      </w:r>
      <w:proofErr w:type="spellStart"/>
      <w:r>
        <w:t>agreements</w:t>
      </w:r>
      <w:proofErr w:type="spellEnd"/>
      <w:r>
        <w:t xml:space="preserve">, </w:t>
      </w:r>
      <w:proofErr w:type="spellStart"/>
      <w:r>
        <w:t>quotas</w:t>
      </w:r>
      <w:proofErr w:type="spellEnd"/>
      <w:r>
        <w:t xml:space="preserve">, </w:t>
      </w:r>
      <w:proofErr w:type="spellStart"/>
      <w:r>
        <w:t>departments</w:t>
      </w:r>
      <w:proofErr w:type="spellEnd"/>
      <w:r>
        <w:t>/</w:t>
      </w:r>
      <w:proofErr w:type="spellStart"/>
      <w:r>
        <w:t>units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quotas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available</w:t>
      </w:r>
      <w:proofErr w:type="spellEnd"/>
      <w:r>
        <w:t xml:space="preserve">,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calendar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conditions</w:t>
      </w:r>
      <w:proofErr w:type="spellEnd"/>
      <w:r w:rsidR="00DB4ACC">
        <w:t>,</w:t>
      </w:r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minimum </w:t>
      </w:r>
      <w:proofErr w:type="spellStart"/>
      <w:r>
        <w:t>conditions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determined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announced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Institution</w:t>
      </w:r>
      <w:proofErr w:type="spellEnd"/>
      <w:r>
        <w:t xml:space="preserve"> </w:t>
      </w:r>
      <w:proofErr w:type="spellStart"/>
      <w:r>
        <w:t>Coordinator</w:t>
      </w:r>
      <w:proofErr w:type="spellEnd"/>
      <w:r>
        <w:t>.</w:t>
      </w:r>
    </w:p>
    <w:p w14:paraId="289CB607" w14:textId="6AF74489" w:rsidR="00633B11" w:rsidRDefault="009B30DB">
      <w:pPr>
        <w:pStyle w:val="P68B1DB1-ListParagraph2"/>
        <w:numPr>
          <w:ilvl w:val="0"/>
          <w:numId w:val="1"/>
        </w:numPr>
        <w:tabs>
          <w:tab w:val="left" w:pos="1204"/>
        </w:tabs>
        <w:spacing w:line="276" w:lineRule="auto"/>
        <w:ind w:right="115" w:firstLine="708"/>
        <w:jc w:val="both"/>
      </w:pPr>
      <w:proofErr w:type="spellStart"/>
      <w:r>
        <w:t>Staff</w:t>
      </w:r>
      <w:proofErr w:type="spellEnd"/>
      <w:r>
        <w:t xml:space="preserve"> </w:t>
      </w:r>
      <w:proofErr w:type="spellStart"/>
      <w:r>
        <w:t>teaching</w:t>
      </w:r>
      <w:proofErr w:type="spellEnd"/>
      <w:r>
        <w:t xml:space="preserve"> </w:t>
      </w:r>
      <w:proofErr w:type="spellStart"/>
      <w:r>
        <w:t>mobility</w:t>
      </w:r>
      <w:proofErr w:type="spellEnd"/>
      <w:r>
        <w:t xml:space="preserve">; </w:t>
      </w:r>
      <w:proofErr w:type="spellStart"/>
      <w:r>
        <w:t>It</w:t>
      </w:r>
      <w:proofErr w:type="spellEnd"/>
      <w:r>
        <w:t xml:space="preserve"> is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field</w:t>
      </w:r>
      <w:proofErr w:type="spellEnd"/>
      <w:r>
        <w:t xml:space="preserve"> of </w:t>
      </w:r>
      <w:proofErr w:type="spellStart"/>
      <w:r>
        <w:t>activity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allows</w:t>
      </w:r>
      <w:proofErr w:type="spellEnd"/>
      <w:r>
        <w:t xml:space="preserve"> </w:t>
      </w:r>
      <w:proofErr w:type="spellStart"/>
      <w:r>
        <w:t>academic</w:t>
      </w:r>
      <w:proofErr w:type="spellEnd"/>
      <w:r>
        <w:t xml:space="preserve"> </w:t>
      </w:r>
      <w:proofErr w:type="spellStart"/>
      <w:r>
        <w:t>staff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carry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</w:t>
      </w:r>
      <w:proofErr w:type="spellStart"/>
      <w:r>
        <w:t>academic</w:t>
      </w:r>
      <w:proofErr w:type="spellEnd"/>
      <w:r>
        <w:t>/</w:t>
      </w:r>
      <w:proofErr w:type="spellStart"/>
      <w:r>
        <w:t>educational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 </w:t>
      </w:r>
      <w:proofErr w:type="spellStart"/>
      <w:r>
        <w:t>jointly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counterpart</w:t>
      </w:r>
      <w:proofErr w:type="spellEnd"/>
      <w:r>
        <w:t xml:space="preserve"> </w:t>
      </w:r>
      <w:proofErr w:type="spellStart"/>
      <w:r>
        <w:t>institution</w:t>
      </w:r>
      <w:proofErr w:type="spellEnd"/>
      <w:r>
        <w:t xml:space="preserve">. Full-time </w:t>
      </w:r>
      <w:proofErr w:type="spellStart"/>
      <w:r>
        <w:t>academic</w:t>
      </w:r>
      <w:proofErr w:type="spellEnd"/>
      <w:r>
        <w:t xml:space="preserve"> </w:t>
      </w:r>
      <w:proofErr w:type="spellStart"/>
      <w:r>
        <w:t>staff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obliged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teach</w:t>
      </w:r>
      <w:proofErr w:type="spellEnd"/>
      <w:r>
        <w:t xml:space="preserve"> at </w:t>
      </w:r>
      <w:proofErr w:type="spellStart"/>
      <w:r>
        <w:t>our</w:t>
      </w:r>
      <w:proofErr w:type="spellEnd"/>
      <w:r>
        <w:t xml:space="preserve"> </w:t>
      </w:r>
      <w:proofErr w:type="spellStart"/>
      <w:r w:rsidR="00FD27D1">
        <w:t>U</w:t>
      </w:r>
      <w:r>
        <w:t>niversity</w:t>
      </w:r>
      <w:proofErr w:type="spellEnd"/>
      <w:r>
        <w:t xml:space="preserve"> can be </w:t>
      </w:r>
      <w:proofErr w:type="spellStart"/>
      <w:r>
        <w:t>assigned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at </w:t>
      </w:r>
      <w:proofErr w:type="spellStart"/>
      <w:r>
        <w:t>least</w:t>
      </w:r>
      <w:proofErr w:type="spellEnd"/>
      <w:r>
        <w:t xml:space="preserve"> 2 </w:t>
      </w:r>
      <w:proofErr w:type="spellStart"/>
      <w:r>
        <w:t>consecutive</w:t>
      </w:r>
      <w:proofErr w:type="spellEnd"/>
      <w:r>
        <w:t xml:space="preserve"> </w:t>
      </w:r>
      <w:proofErr w:type="spellStart"/>
      <w:r>
        <w:t>working</w:t>
      </w:r>
      <w:proofErr w:type="spellEnd"/>
      <w:r>
        <w:t xml:space="preserve"> </w:t>
      </w:r>
      <w:proofErr w:type="spellStart"/>
      <w:r>
        <w:t>days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 </w:t>
      </w:r>
      <w:proofErr w:type="spellStart"/>
      <w:r>
        <w:t>maximum</w:t>
      </w:r>
      <w:proofErr w:type="spellEnd"/>
      <w:r>
        <w:t xml:space="preserve"> of 6 </w:t>
      </w:r>
      <w:proofErr w:type="spellStart"/>
      <w:r>
        <w:t>weeks</w:t>
      </w:r>
      <w:proofErr w:type="spellEnd"/>
      <w:r>
        <w:t xml:space="preserve">, </w:t>
      </w:r>
      <w:proofErr w:type="spellStart"/>
      <w:r>
        <w:t>provided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teach</w:t>
      </w:r>
      <w:proofErr w:type="spellEnd"/>
      <w:r>
        <w:t xml:space="preserve"> at </w:t>
      </w:r>
      <w:proofErr w:type="spellStart"/>
      <w:r>
        <w:t>least</w:t>
      </w:r>
      <w:proofErr w:type="spellEnd"/>
      <w:r>
        <w:t xml:space="preserve"> 8 </w:t>
      </w:r>
      <w:proofErr w:type="spellStart"/>
      <w:r>
        <w:t>hours</w:t>
      </w:r>
      <w:proofErr w:type="spellEnd"/>
      <w:r>
        <w:t xml:space="preserve"> a </w:t>
      </w:r>
      <w:proofErr w:type="spellStart"/>
      <w:r>
        <w:t>week</w:t>
      </w:r>
      <w:proofErr w:type="spellEnd"/>
      <w:r>
        <w:t>.</w:t>
      </w:r>
    </w:p>
    <w:p w14:paraId="289CB608" w14:textId="734B0C06" w:rsidR="00633B11" w:rsidRDefault="009B30DB">
      <w:pPr>
        <w:pStyle w:val="P68B1DB1-ListParagraph2"/>
        <w:numPr>
          <w:ilvl w:val="0"/>
          <w:numId w:val="1"/>
        </w:numPr>
        <w:tabs>
          <w:tab w:val="left" w:pos="1182"/>
        </w:tabs>
        <w:spacing w:line="276" w:lineRule="auto"/>
        <w:ind w:right="121" w:firstLine="708"/>
        <w:jc w:val="both"/>
      </w:pPr>
      <w:proofErr w:type="spellStart"/>
      <w:r>
        <w:t>Staff</w:t>
      </w:r>
      <w:proofErr w:type="spellEnd"/>
      <w:r>
        <w:t xml:space="preserve"> </w:t>
      </w:r>
      <w:proofErr w:type="spellStart"/>
      <w:r>
        <w:t>training</w:t>
      </w:r>
      <w:proofErr w:type="spellEnd"/>
      <w:r>
        <w:t xml:space="preserve"> </w:t>
      </w:r>
      <w:proofErr w:type="spellStart"/>
      <w:r>
        <w:t>mobility</w:t>
      </w:r>
      <w:proofErr w:type="spellEnd"/>
      <w:r>
        <w:t xml:space="preserve">; </w:t>
      </w:r>
      <w:proofErr w:type="spellStart"/>
      <w:r>
        <w:t>It</w:t>
      </w:r>
      <w:proofErr w:type="spellEnd"/>
      <w:r>
        <w:t xml:space="preserve"> is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field</w:t>
      </w:r>
      <w:proofErr w:type="spellEnd"/>
      <w:r>
        <w:t xml:space="preserve"> of </w:t>
      </w:r>
      <w:proofErr w:type="spellStart"/>
      <w:r>
        <w:t>activity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enables</w:t>
      </w:r>
      <w:proofErr w:type="spellEnd"/>
      <w:r>
        <w:t xml:space="preserve"> </w:t>
      </w:r>
      <w:proofErr w:type="spellStart"/>
      <w:r>
        <w:t>full</w:t>
      </w:r>
      <w:proofErr w:type="spellEnd"/>
      <w:r>
        <w:t xml:space="preserve">-time </w:t>
      </w:r>
      <w:proofErr w:type="spellStart"/>
      <w:r>
        <w:t>academic</w:t>
      </w:r>
      <w:proofErr w:type="spellEnd"/>
      <w:r>
        <w:t>/</w:t>
      </w:r>
      <w:proofErr w:type="spellStart"/>
      <w:r>
        <w:t>administrative</w:t>
      </w:r>
      <w:proofErr w:type="spellEnd"/>
      <w:r>
        <w:t xml:space="preserve"> </w:t>
      </w:r>
      <w:proofErr w:type="spellStart"/>
      <w:r>
        <w:t>staff</w:t>
      </w:r>
      <w:proofErr w:type="spellEnd"/>
      <w:r>
        <w:t xml:space="preserve"> </w:t>
      </w:r>
      <w:proofErr w:type="spellStart"/>
      <w:r>
        <w:t>employed</w:t>
      </w:r>
      <w:proofErr w:type="spellEnd"/>
      <w:r>
        <w:t xml:space="preserve"> at </w:t>
      </w:r>
      <w:proofErr w:type="spellStart"/>
      <w:r>
        <w:t>our</w:t>
      </w:r>
      <w:proofErr w:type="spellEnd"/>
      <w:r>
        <w:t xml:space="preserve"> </w:t>
      </w:r>
      <w:proofErr w:type="spellStart"/>
      <w:r w:rsidR="00FD27D1">
        <w:t>U</w:t>
      </w:r>
      <w:r>
        <w:t>niversity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go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opposite</w:t>
      </w:r>
      <w:proofErr w:type="spellEnd"/>
      <w:r>
        <w:t xml:space="preserve"> </w:t>
      </w:r>
      <w:proofErr w:type="spellStart"/>
      <w:r>
        <w:t>institution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business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training</w:t>
      </w:r>
      <w:proofErr w:type="spellEnd"/>
      <w:r>
        <w:t xml:space="preserve">. </w:t>
      </w:r>
      <w:proofErr w:type="spellStart"/>
      <w:r>
        <w:t>Personnel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benefit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training</w:t>
      </w:r>
      <w:proofErr w:type="spellEnd"/>
      <w:r>
        <w:t xml:space="preserve"> </w:t>
      </w:r>
      <w:proofErr w:type="spellStart"/>
      <w:r>
        <w:t>mobility</w:t>
      </w:r>
      <w:proofErr w:type="spellEnd"/>
      <w:r>
        <w:t xml:space="preserve"> can be </w:t>
      </w:r>
      <w:proofErr w:type="spellStart"/>
      <w:r>
        <w:t>assigned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at </w:t>
      </w:r>
      <w:proofErr w:type="spellStart"/>
      <w:r>
        <w:t>least</w:t>
      </w:r>
      <w:proofErr w:type="spellEnd"/>
      <w:r>
        <w:t xml:space="preserve"> 2 </w:t>
      </w:r>
      <w:proofErr w:type="spellStart"/>
      <w:r>
        <w:t>consecutive</w:t>
      </w:r>
      <w:proofErr w:type="spellEnd"/>
      <w:r>
        <w:t xml:space="preserve"> </w:t>
      </w:r>
      <w:proofErr w:type="spellStart"/>
      <w:r>
        <w:t>working</w:t>
      </w:r>
      <w:proofErr w:type="spellEnd"/>
      <w:r>
        <w:t xml:space="preserve"> </w:t>
      </w:r>
      <w:proofErr w:type="spellStart"/>
      <w:r>
        <w:t>days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a </w:t>
      </w:r>
      <w:proofErr w:type="spellStart"/>
      <w:r>
        <w:t>maximum</w:t>
      </w:r>
      <w:proofErr w:type="spellEnd"/>
      <w:r>
        <w:t xml:space="preserve"> of 6 </w:t>
      </w:r>
      <w:proofErr w:type="spellStart"/>
      <w:r>
        <w:t>weeks</w:t>
      </w:r>
      <w:proofErr w:type="spellEnd"/>
      <w:r>
        <w:t>.</w:t>
      </w:r>
    </w:p>
    <w:p w14:paraId="289CB609" w14:textId="77777777" w:rsidR="00633B11" w:rsidRDefault="00633B11">
      <w:pPr>
        <w:spacing w:line="276" w:lineRule="auto"/>
        <w:jc w:val="both"/>
        <w:rPr>
          <w:sz w:val="24"/>
        </w:rPr>
        <w:sectPr w:rsidR="00633B11">
          <w:pgSz w:w="11910" w:h="16840"/>
          <w:pgMar w:top="1320" w:right="1300" w:bottom="280" w:left="1300" w:header="708" w:footer="708" w:gutter="0"/>
          <w:cols w:space="708"/>
        </w:sectPr>
      </w:pPr>
    </w:p>
    <w:p w14:paraId="289CB60A" w14:textId="77777777" w:rsidR="00633B11" w:rsidRDefault="009B30DB">
      <w:pPr>
        <w:pStyle w:val="P68B1DB1-ListParagraph2"/>
        <w:numPr>
          <w:ilvl w:val="0"/>
          <w:numId w:val="1"/>
        </w:numPr>
        <w:tabs>
          <w:tab w:val="left" w:pos="1185"/>
        </w:tabs>
        <w:spacing w:before="77" w:line="276" w:lineRule="auto"/>
        <w:ind w:right="111" w:firstLine="708"/>
        <w:jc w:val="both"/>
      </w:pPr>
      <w:proofErr w:type="spellStart"/>
      <w:r>
        <w:lastRenderedPageBreak/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scope</w:t>
      </w:r>
      <w:proofErr w:type="spellEnd"/>
      <w:r>
        <w:t xml:space="preserve"> of </w:t>
      </w:r>
      <w:proofErr w:type="spellStart"/>
      <w:r>
        <w:t>personnel</w:t>
      </w:r>
      <w:proofErr w:type="spellEnd"/>
      <w:r>
        <w:t xml:space="preserve"> </w:t>
      </w:r>
      <w:proofErr w:type="spellStart"/>
      <w:r>
        <w:t>mobility</w:t>
      </w:r>
      <w:proofErr w:type="spellEnd"/>
      <w:r>
        <w:t xml:space="preserve">, it is </w:t>
      </w:r>
      <w:proofErr w:type="spellStart"/>
      <w:r>
        <w:t>possible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invite</w:t>
      </w:r>
      <w:proofErr w:type="spellEnd"/>
      <w:r>
        <w:t xml:space="preserve"> </w:t>
      </w:r>
      <w:proofErr w:type="spellStart"/>
      <w:r>
        <w:t>personnel</w:t>
      </w:r>
      <w:proofErr w:type="spellEnd"/>
      <w:r>
        <w:t xml:space="preserve"> </w:t>
      </w:r>
      <w:proofErr w:type="spellStart"/>
      <w:r>
        <w:t>working</w:t>
      </w:r>
      <w:proofErr w:type="spellEnd"/>
      <w:r>
        <w:t xml:space="preserve"> in an </w:t>
      </w:r>
      <w:proofErr w:type="spellStart"/>
      <w:r>
        <w:t>enterprise</w:t>
      </w:r>
      <w:proofErr w:type="spellEnd"/>
      <w:r>
        <w:t xml:space="preserve"> </w:t>
      </w:r>
      <w:proofErr w:type="spellStart"/>
      <w:r>
        <w:t>located</w:t>
      </w:r>
      <w:proofErr w:type="spellEnd"/>
      <w:r>
        <w:t xml:space="preserve"> in </w:t>
      </w:r>
      <w:proofErr w:type="spellStart"/>
      <w:r>
        <w:t>one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EU </w:t>
      </w:r>
      <w:proofErr w:type="spellStart"/>
      <w:r>
        <w:t>member</w:t>
      </w:r>
      <w:proofErr w:type="spellEnd"/>
      <w:r>
        <w:t xml:space="preserve"> </w:t>
      </w:r>
      <w:proofErr w:type="spellStart"/>
      <w:r>
        <w:t>countries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give</w:t>
      </w:r>
      <w:proofErr w:type="spellEnd"/>
      <w:r>
        <w:t xml:space="preserve"> </w:t>
      </w:r>
      <w:proofErr w:type="spellStart"/>
      <w:r>
        <w:t>lectures</w:t>
      </w:r>
      <w:proofErr w:type="spellEnd"/>
      <w:r>
        <w:t xml:space="preserve"> at </w:t>
      </w:r>
      <w:proofErr w:type="spellStart"/>
      <w:r>
        <w:t>our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. </w:t>
      </w:r>
      <w:proofErr w:type="spellStart"/>
      <w:r>
        <w:t>It</w:t>
      </w:r>
      <w:proofErr w:type="spellEnd"/>
      <w:r>
        <w:t xml:space="preserve"> is not </w:t>
      </w:r>
      <w:proofErr w:type="spellStart"/>
      <w:r>
        <w:t>necessary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an </w:t>
      </w:r>
      <w:proofErr w:type="spellStart"/>
      <w:r>
        <w:t>agreement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enterprise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personnel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invited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enterprises</w:t>
      </w:r>
      <w:proofErr w:type="spellEnd"/>
      <w:r>
        <w:t xml:space="preserve"> </w:t>
      </w:r>
      <w:proofErr w:type="spellStart"/>
      <w:r>
        <w:t>abroad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personnel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sent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enterprises</w:t>
      </w:r>
      <w:proofErr w:type="spellEnd"/>
      <w:r>
        <w:t>.</w:t>
      </w:r>
    </w:p>
    <w:p w14:paraId="289CB60B" w14:textId="295984A7" w:rsidR="00633B11" w:rsidRDefault="009B30DB">
      <w:pPr>
        <w:pStyle w:val="P68B1DB1-ListParagraph2"/>
        <w:numPr>
          <w:ilvl w:val="0"/>
          <w:numId w:val="1"/>
        </w:numPr>
        <w:tabs>
          <w:tab w:val="left" w:pos="1182"/>
        </w:tabs>
        <w:spacing w:before="1" w:line="276" w:lineRule="auto"/>
        <w:ind w:right="114" w:firstLine="708"/>
        <w:jc w:val="both"/>
      </w:pPr>
      <w:r>
        <w:t xml:space="preserve">Applications </w:t>
      </w:r>
      <w:proofErr w:type="spellStart"/>
      <w:r>
        <w:t>made</w:t>
      </w:r>
      <w:proofErr w:type="spellEnd"/>
      <w:r>
        <w:t xml:space="preserve"> </w:t>
      </w:r>
      <w:proofErr w:type="spellStart"/>
      <w:r w:rsidR="00DB4ACC">
        <w:t>following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procedure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evaluated</w:t>
      </w:r>
      <w:proofErr w:type="spellEnd"/>
      <w:r>
        <w:t xml:space="preserve">, </w:t>
      </w:r>
      <w:proofErr w:type="spellStart"/>
      <w:r>
        <w:t>finalized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announced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Erasmus</w:t>
      </w:r>
      <w:proofErr w:type="spellEnd"/>
      <w:r>
        <w:t xml:space="preserve"> </w:t>
      </w:r>
      <w:proofErr w:type="spellStart"/>
      <w:r>
        <w:t>Institution</w:t>
      </w:r>
      <w:proofErr w:type="spellEnd"/>
      <w:r>
        <w:t xml:space="preserve"> </w:t>
      </w:r>
      <w:proofErr w:type="spellStart"/>
      <w:r>
        <w:t>Coordinatorship</w:t>
      </w:r>
      <w:proofErr w:type="spellEnd"/>
      <w:r>
        <w:t xml:space="preserve"> of </w:t>
      </w:r>
      <w:proofErr w:type="spellStart"/>
      <w:r>
        <w:t>our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, </w:t>
      </w:r>
      <w:proofErr w:type="spellStart"/>
      <w:r>
        <w:t>taking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account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 </w:t>
      </w:r>
      <w:proofErr w:type="spellStart"/>
      <w:r>
        <w:t>announced</w:t>
      </w:r>
      <w:proofErr w:type="spellEnd"/>
      <w:r>
        <w:t xml:space="preserve"> </w:t>
      </w:r>
      <w:proofErr w:type="spellStart"/>
      <w:r>
        <w:t>regarding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determined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relevant</w:t>
      </w:r>
      <w:proofErr w:type="spellEnd"/>
      <w:r>
        <w:t xml:space="preserve"> </w:t>
      </w:r>
      <w:proofErr w:type="spellStart"/>
      <w:r>
        <w:t>year</w:t>
      </w:r>
      <w:proofErr w:type="spellEnd"/>
      <w:r>
        <w:t>.</w:t>
      </w:r>
    </w:p>
    <w:p w14:paraId="289CB60C" w14:textId="0CC42A15" w:rsidR="00633B11" w:rsidRDefault="00DB4ACC">
      <w:pPr>
        <w:pStyle w:val="P68B1DB1-ListParagraph2"/>
        <w:numPr>
          <w:ilvl w:val="0"/>
          <w:numId w:val="1"/>
        </w:numPr>
        <w:tabs>
          <w:tab w:val="left" w:pos="1165"/>
        </w:tabs>
        <w:spacing w:before="1"/>
        <w:ind w:left="1164" w:right="0" w:hanging="340"/>
      </w:pPr>
      <w:r>
        <w:t>“</w:t>
      </w:r>
      <w:proofErr w:type="spellStart"/>
      <w:r w:rsidR="009B30DB">
        <w:t>Personnel</w:t>
      </w:r>
      <w:proofErr w:type="spellEnd"/>
      <w:r w:rsidR="009B30DB">
        <w:t xml:space="preserve"> Grant </w:t>
      </w:r>
      <w:proofErr w:type="spellStart"/>
      <w:r w:rsidR="009B30DB">
        <w:t>Agreement</w:t>
      </w:r>
      <w:proofErr w:type="spellEnd"/>
      <w:r>
        <w:t>”</w:t>
      </w:r>
      <w:r w:rsidR="009B30DB">
        <w:t xml:space="preserve"> is </w:t>
      </w:r>
      <w:proofErr w:type="spellStart"/>
      <w:r w:rsidR="009B30DB">
        <w:t>signed</w:t>
      </w:r>
      <w:proofErr w:type="spellEnd"/>
      <w:r w:rsidR="009B30DB">
        <w:t xml:space="preserve"> </w:t>
      </w:r>
      <w:proofErr w:type="spellStart"/>
      <w:r w:rsidR="009B30DB">
        <w:t>with</w:t>
      </w:r>
      <w:proofErr w:type="spellEnd"/>
      <w:r w:rsidR="009B30DB">
        <w:t xml:space="preserve"> </w:t>
      </w:r>
      <w:proofErr w:type="spellStart"/>
      <w:r w:rsidR="009B30DB">
        <w:t>the</w:t>
      </w:r>
      <w:proofErr w:type="spellEnd"/>
      <w:r w:rsidR="009B30DB">
        <w:t xml:space="preserve"> </w:t>
      </w:r>
      <w:proofErr w:type="spellStart"/>
      <w:r w:rsidR="009B30DB">
        <w:t>relevant</w:t>
      </w:r>
      <w:proofErr w:type="spellEnd"/>
      <w:r w:rsidR="009B30DB">
        <w:t xml:space="preserve"> </w:t>
      </w:r>
      <w:proofErr w:type="spellStart"/>
      <w:r w:rsidR="009B30DB">
        <w:t>personnel</w:t>
      </w:r>
      <w:proofErr w:type="spellEnd"/>
      <w:r w:rsidR="009B30DB">
        <w:t xml:space="preserve"> </w:t>
      </w:r>
      <w:proofErr w:type="spellStart"/>
      <w:r w:rsidR="009B30DB">
        <w:t>before</w:t>
      </w:r>
      <w:proofErr w:type="spellEnd"/>
      <w:r w:rsidR="009B30DB">
        <w:t xml:space="preserve"> </w:t>
      </w:r>
      <w:proofErr w:type="spellStart"/>
      <w:r w:rsidR="009B30DB">
        <w:t>they</w:t>
      </w:r>
      <w:proofErr w:type="spellEnd"/>
      <w:r w:rsidR="009B30DB">
        <w:t xml:space="preserve"> </w:t>
      </w:r>
      <w:proofErr w:type="spellStart"/>
      <w:r w:rsidR="009B30DB">
        <w:t>go</w:t>
      </w:r>
      <w:proofErr w:type="spellEnd"/>
      <w:r w:rsidR="009B30DB">
        <w:t>.</w:t>
      </w:r>
    </w:p>
    <w:p w14:paraId="289CB60D" w14:textId="77777777" w:rsidR="00633B11" w:rsidRDefault="00633B11">
      <w:pPr>
        <w:pStyle w:val="GvdeMetni"/>
        <w:ind w:left="0" w:firstLine="0"/>
        <w:jc w:val="left"/>
        <w:rPr>
          <w:sz w:val="26"/>
        </w:rPr>
      </w:pPr>
    </w:p>
    <w:p w14:paraId="289CB60E" w14:textId="77777777" w:rsidR="00633B11" w:rsidRDefault="00633B11">
      <w:pPr>
        <w:pStyle w:val="GvdeMetni"/>
        <w:spacing w:before="10"/>
        <w:ind w:left="0" w:firstLine="0"/>
        <w:jc w:val="left"/>
        <w:rPr>
          <w:sz w:val="32"/>
        </w:rPr>
      </w:pPr>
    </w:p>
    <w:p w14:paraId="289CB60F" w14:textId="77777777" w:rsidR="00633B11" w:rsidRDefault="009B30DB">
      <w:pPr>
        <w:pStyle w:val="Balk1"/>
        <w:ind w:left="2281" w:right="1578"/>
        <w:jc w:val="center"/>
      </w:pPr>
      <w:r>
        <w:t>FOURTH SECTION</w:t>
      </w:r>
    </w:p>
    <w:p w14:paraId="289CB610" w14:textId="77777777" w:rsidR="00633B11" w:rsidRDefault="00633B11">
      <w:pPr>
        <w:pStyle w:val="GvdeMetni"/>
        <w:ind w:left="0" w:firstLine="0"/>
        <w:jc w:val="left"/>
        <w:rPr>
          <w:b/>
          <w:sz w:val="31"/>
        </w:rPr>
      </w:pPr>
    </w:p>
    <w:p w14:paraId="289CB611" w14:textId="77777777" w:rsidR="00633B11" w:rsidRDefault="009B30DB" w:rsidP="00511AAF">
      <w:pPr>
        <w:pStyle w:val="P68B1DB1-Normal1"/>
        <w:spacing w:before="1"/>
        <w:ind w:left="824"/>
        <w:jc w:val="center"/>
      </w:pPr>
      <w:proofErr w:type="spellStart"/>
      <w:r>
        <w:t>Conditions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Provisions</w:t>
      </w:r>
      <w:proofErr w:type="spellEnd"/>
    </w:p>
    <w:p w14:paraId="289CB612" w14:textId="7849A8A2" w:rsidR="00633B11" w:rsidRDefault="009B30DB">
      <w:pPr>
        <w:pStyle w:val="GvdeMetni"/>
        <w:spacing w:before="43" w:line="276" w:lineRule="auto"/>
        <w:ind w:right="113" w:firstLine="707"/>
      </w:pPr>
      <w:r>
        <w:rPr>
          <w:b/>
        </w:rPr>
        <w:t xml:space="preserve">ARTICLE </w:t>
      </w:r>
      <w:proofErr w:type="gramStart"/>
      <w:r>
        <w:rPr>
          <w:b/>
        </w:rPr>
        <w:t>10 -</w:t>
      </w:r>
      <w:proofErr w:type="gramEnd"/>
      <w:r>
        <w:rPr>
          <w:b/>
        </w:rPr>
        <w:t xml:space="preserve"> </w:t>
      </w:r>
      <w:r>
        <w:t xml:space="preserve">(1) </w:t>
      </w:r>
      <w:proofErr w:type="spellStart"/>
      <w:r>
        <w:t>Regarding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issues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not </w:t>
      </w:r>
      <w:proofErr w:type="spellStart"/>
      <w:r>
        <w:t>provided</w:t>
      </w:r>
      <w:proofErr w:type="spellEnd"/>
      <w:r>
        <w:t xml:space="preserve">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instruction</w:t>
      </w:r>
      <w:proofErr w:type="spellEnd"/>
      <w:r>
        <w:t xml:space="preserve">, </w:t>
      </w:r>
      <w:proofErr w:type="spellStart"/>
      <w:r>
        <w:t>Istanbul</w:t>
      </w:r>
      <w:proofErr w:type="spellEnd"/>
      <w:r>
        <w:t xml:space="preserve"> </w:t>
      </w:r>
      <w:proofErr w:type="spellStart"/>
      <w:r>
        <w:t>Medipol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Undergraduate</w:t>
      </w:r>
      <w:proofErr w:type="spellEnd"/>
      <w:r w:rsidR="00702712">
        <w:t xml:space="preserve"> - </w:t>
      </w:r>
      <w:proofErr w:type="spellStart"/>
      <w:r>
        <w:t>Graduate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Regulations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Commission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Union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Youth</w:t>
      </w:r>
      <w:proofErr w:type="spellEnd"/>
      <w:r>
        <w:t xml:space="preserve"> </w:t>
      </w:r>
      <w:proofErr w:type="spellStart"/>
      <w:r w:rsidR="00853849">
        <w:t>Programme</w:t>
      </w:r>
      <w:r>
        <w:t>s</w:t>
      </w:r>
      <w:proofErr w:type="spellEnd"/>
      <w:r>
        <w:t xml:space="preserve"> Center </w:t>
      </w:r>
      <w:proofErr w:type="spellStart"/>
      <w:r>
        <w:t>Presidency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determined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r w:rsidR="00DB4ACC">
        <w:t>“</w:t>
      </w:r>
      <w:proofErr w:type="spellStart"/>
      <w:r>
        <w:t>Erasmus</w:t>
      </w:r>
      <w:proofErr w:type="spellEnd"/>
      <w:r>
        <w:t xml:space="preserve"> </w:t>
      </w:r>
      <w:proofErr w:type="spellStart"/>
      <w:r>
        <w:t>Implementation</w:t>
      </w:r>
      <w:proofErr w:type="spellEnd"/>
      <w:r>
        <w:t xml:space="preserve"> </w:t>
      </w:r>
      <w:proofErr w:type="spellStart"/>
      <w:r>
        <w:t>Handbook</w:t>
      </w:r>
      <w:proofErr w:type="spellEnd"/>
      <w:r w:rsidR="00DB4ACC">
        <w:t>”</w:t>
      </w:r>
      <w:r>
        <w:t xml:space="preserve"> </w:t>
      </w:r>
      <w:proofErr w:type="spellStart"/>
      <w:r>
        <w:t>prepared</w:t>
      </w:r>
      <w:proofErr w:type="spellEnd"/>
      <w:r>
        <w:t xml:space="preserve"> </w:t>
      </w:r>
      <w:proofErr w:type="spellStart"/>
      <w:r>
        <w:t>every</w:t>
      </w:r>
      <w:proofErr w:type="spellEnd"/>
      <w:r>
        <w:t xml:space="preserve"> </w:t>
      </w:r>
      <w:proofErr w:type="spellStart"/>
      <w:r>
        <w:t>academic</w:t>
      </w:r>
      <w:proofErr w:type="spellEnd"/>
      <w:r>
        <w:t xml:space="preserve"> </w:t>
      </w:r>
      <w:proofErr w:type="spellStart"/>
      <w:r>
        <w:t>year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Turkish</w:t>
      </w:r>
      <w:proofErr w:type="spellEnd"/>
      <w:r>
        <w:t xml:space="preserve">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Agency</w:t>
      </w:r>
      <w:proofErr w:type="spellEnd"/>
      <w:r>
        <w:t xml:space="preserve">. </w:t>
      </w:r>
      <w:proofErr w:type="spellStart"/>
      <w:r>
        <w:t>Actions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taken</w:t>
      </w:r>
      <w:proofErr w:type="spellEnd"/>
      <w:r>
        <w:t xml:space="preserve"> </w:t>
      </w:r>
      <w:proofErr w:type="spellStart"/>
      <w:r w:rsidR="00DB4ACC">
        <w:t>following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provisions</w:t>
      </w:r>
      <w:proofErr w:type="spellEnd"/>
      <w:r>
        <w:t>.</w:t>
      </w:r>
    </w:p>
    <w:p w14:paraId="289CB613" w14:textId="77777777" w:rsidR="00633B11" w:rsidRDefault="00633B11">
      <w:pPr>
        <w:pStyle w:val="GvdeMetni"/>
        <w:spacing w:before="9"/>
        <w:ind w:left="0" w:firstLine="0"/>
        <w:jc w:val="left"/>
        <w:rPr>
          <w:sz w:val="27"/>
        </w:rPr>
      </w:pPr>
    </w:p>
    <w:p w14:paraId="289CB614" w14:textId="77777777" w:rsidR="00633B11" w:rsidRDefault="009B30DB" w:rsidP="00511AAF">
      <w:pPr>
        <w:pStyle w:val="Balk1"/>
        <w:jc w:val="center"/>
      </w:pPr>
      <w:proofErr w:type="spellStart"/>
      <w:r>
        <w:t>Repealing</w:t>
      </w:r>
      <w:proofErr w:type="spellEnd"/>
      <w:r>
        <w:t xml:space="preserve"> </w:t>
      </w:r>
      <w:proofErr w:type="spellStart"/>
      <w:r>
        <w:t>Provisions</w:t>
      </w:r>
      <w:proofErr w:type="spellEnd"/>
    </w:p>
    <w:p w14:paraId="289CB615" w14:textId="50A3D941" w:rsidR="00633B11" w:rsidRDefault="009B30DB">
      <w:pPr>
        <w:pStyle w:val="GvdeMetni"/>
        <w:spacing w:before="40" w:line="276" w:lineRule="auto"/>
        <w:ind w:right="120" w:firstLine="707"/>
      </w:pPr>
      <w:r>
        <w:rPr>
          <w:b/>
        </w:rPr>
        <w:t xml:space="preserve">ARTICLE 11 – </w:t>
      </w:r>
      <w:r>
        <w:t xml:space="preserve">(1) </w:t>
      </w:r>
      <w:proofErr w:type="spellStart"/>
      <w:r>
        <w:t>In</w:t>
      </w:r>
      <w:proofErr w:type="spellEnd"/>
      <w:r>
        <w:t xml:space="preserve"> </w:t>
      </w:r>
      <w:proofErr w:type="spellStart"/>
      <w:r>
        <w:t>force</w:t>
      </w:r>
      <w:proofErr w:type="spellEnd"/>
      <w:r>
        <w:t xml:space="preserve"> </w:t>
      </w:r>
      <w:proofErr w:type="spellStart"/>
      <w:r w:rsidR="00DB4ACC">
        <w:t>before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entry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force</w:t>
      </w:r>
      <w:proofErr w:type="spellEnd"/>
      <w:r>
        <w:t xml:space="preserve"> of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instructions</w:t>
      </w:r>
      <w:proofErr w:type="spellEnd"/>
      <w:r>
        <w:t>. “</w:t>
      </w:r>
      <w:proofErr w:type="spellStart"/>
      <w:r>
        <w:t>Istanbul</w:t>
      </w:r>
      <w:proofErr w:type="spellEnd"/>
      <w:r>
        <w:t xml:space="preserve"> </w:t>
      </w:r>
      <w:proofErr w:type="spellStart"/>
      <w:r>
        <w:t>Medipol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Union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Youth</w:t>
      </w:r>
      <w:proofErr w:type="spellEnd"/>
      <w:r>
        <w:t xml:space="preserve"> </w:t>
      </w:r>
      <w:proofErr w:type="spellStart"/>
      <w:r w:rsidR="00853849">
        <w:t>Programme</w:t>
      </w:r>
      <w:r>
        <w:t>s</w:t>
      </w:r>
      <w:proofErr w:type="spellEnd"/>
      <w:r>
        <w:t xml:space="preserve"> </w:t>
      </w:r>
      <w:proofErr w:type="spellStart"/>
      <w:r>
        <w:t>Lifelong</w:t>
      </w:r>
      <w:proofErr w:type="spellEnd"/>
      <w:r>
        <w:t xml:space="preserve"> Learning </w:t>
      </w:r>
      <w:proofErr w:type="spellStart"/>
      <w:r w:rsidR="00853849">
        <w:t>Programme</w:t>
      </w:r>
      <w:proofErr w:type="spellEnd"/>
      <w:r>
        <w:t xml:space="preserve"> </w:t>
      </w:r>
      <w:proofErr w:type="spellStart"/>
      <w:r>
        <w:t>Erasmus</w:t>
      </w:r>
      <w:proofErr w:type="spellEnd"/>
      <w:r>
        <w:t xml:space="preserve"> </w:t>
      </w:r>
      <w:proofErr w:type="spellStart"/>
      <w:r>
        <w:t>Instr</w:t>
      </w:r>
      <w:r w:rsidR="00DB4ACC">
        <w:t>uc</w:t>
      </w:r>
      <w:r>
        <w:t>tion</w:t>
      </w:r>
      <w:proofErr w:type="spellEnd"/>
      <w:r>
        <w:t xml:space="preserve">” is </w:t>
      </w:r>
      <w:proofErr w:type="spellStart"/>
      <w:r>
        <w:t>repealed</w:t>
      </w:r>
      <w:proofErr w:type="spellEnd"/>
      <w:r>
        <w:t>.</w:t>
      </w:r>
    </w:p>
    <w:p w14:paraId="289CB616" w14:textId="77777777" w:rsidR="00633B11" w:rsidRDefault="00633B11">
      <w:pPr>
        <w:pStyle w:val="GvdeMetni"/>
        <w:spacing w:before="6"/>
        <w:ind w:left="0" w:firstLine="0"/>
        <w:jc w:val="left"/>
        <w:rPr>
          <w:sz w:val="27"/>
        </w:rPr>
      </w:pPr>
    </w:p>
    <w:p w14:paraId="289CB617" w14:textId="77777777" w:rsidR="00633B11" w:rsidRDefault="009B30DB" w:rsidP="00511AAF">
      <w:pPr>
        <w:pStyle w:val="Balk1"/>
        <w:jc w:val="center"/>
      </w:pPr>
      <w:proofErr w:type="spellStart"/>
      <w:r>
        <w:t>Enforcement</w:t>
      </w:r>
      <w:proofErr w:type="spellEnd"/>
    </w:p>
    <w:p w14:paraId="289CB618" w14:textId="51E03DD2" w:rsidR="00633B11" w:rsidRDefault="009B30DB">
      <w:pPr>
        <w:pStyle w:val="GvdeMetni"/>
        <w:spacing w:before="40" w:line="276" w:lineRule="auto"/>
        <w:ind w:right="120" w:firstLine="707"/>
      </w:pPr>
      <w:r>
        <w:rPr>
          <w:b/>
        </w:rPr>
        <w:t xml:space="preserve">ARTICLE </w:t>
      </w:r>
      <w:proofErr w:type="gramStart"/>
      <w:r>
        <w:rPr>
          <w:b/>
        </w:rPr>
        <w:t>12 -</w:t>
      </w:r>
      <w:proofErr w:type="gramEnd"/>
      <w:r>
        <w:rPr>
          <w:b/>
        </w:rPr>
        <w:t xml:space="preserve"> </w:t>
      </w:r>
      <w:r>
        <w:t xml:space="preserve">(1)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instruction</w:t>
      </w:r>
      <w:proofErr w:type="spellEnd"/>
      <w:r>
        <w:t xml:space="preserve"> </w:t>
      </w:r>
      <w:proofErr w:type="spellStart"/>
      <w:r>
        <w:t>enters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force</w:t>
      </w:r>
      <w:proofErr w:type="spellEnd"/>
      <w:r>
        <w:t xml:space="preserve"> as of 23.01.2018,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accepted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Istanbul</w:t>
      </w:r>
      <w:proofErr w:type="spellEnd"/>
      <w:r>
        <w:t xml:space="preserve"> </w:t>
      </w:r>
      <w:proofErr w:type="spellStart"/>
      <w:r>
        <w:t>Medipol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Senate</w:t>
      </w:r>
      <w:proofErr w:type="spellEnd"/>
      <w:r>
        <w:t xml:space="preserve">.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applications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date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provisions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previous</w:t>
      </w:r>
      <w:proofErr w:type="spellEnd"/>
      <w:r>
        <w:t xml:space="preserve"> </w:t>
      </w:r>
      <w:proofErr w:type="spellStart"/>
      <w:r>
        <w:t>instruction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applied</w:t>
      </w:r>
      <w:proofErr w:type="spellEnd"/>
      <w:r>
        <w:t>.</w:t>
      </w:r>
    </w:p>
    <w:p w14:paraId="289CB619" w14:textId="77777777" w:rsidR="00633B11" w:rsidRDefault="00633B11">
      <w:pPr>
        <w:pStyle w:val="GvdeMetni"/>
        <w:spacing w:before="7"/>
        <w:ind w:left="0" w:firstLine="0"/>
        <w:jc w:val="left"/>
        <w:rPr>
          <w:sz w:val="27"/>
        </w:rPr>
      </w:pPr>
    </w:p>
    <w:p w14:paraId="289CB61A" w14:textId="77777777" w:rsidR="00633B11" w:rsidRDefault="009B30DB" w:rsidP="00511AAF">
      <w:pPr>
        <w:pStyle w:val="Balk1"/>
        <w:jc w:val="center"/>
      </w:pPr>
      <w:proofErr w:type="spellStart"/>
      <w:r>
        <w:t>Execution</w:t>
      </w:r>
      <w:proofErr w:type="spellEnd"/>
    </w:p>
    <w:p w14:paraId="289CB61B" w14:textId="0D31105B" w:rsidR="00633B11" w:rsidRDefault="00871272">
      <w:pPr>
        <w:pStyle w:val="GvdeMetni"/>
        <w:spacing w:before="43" w:line="276" w:lineRule="auto"/>
        <w:ind w:right="115" w:firstLine="707"/>
      </w:pPr>
      <w:r>
        <w:rPr>
          <w:b/>
        </w:rPr>
        <w:t xml:space="preserve"> ARTICLE </w:t>
      </w:r>
      <w:proofErr w:type="gramStart"/>
      <w:r w:rsidR="009B30DB">
        <w:rPr>
          <w:b/>
        </w:rPr>
        <w:t>13 -</w:t>
      </w:r>
      <w:proofErr w:type="gramEnd"/>
      <w:r w:rsidR="009B30DB">
        <w:rPr>
          <w:b/>
        </w:rPr>
        <w:t xml:space="preserve"> </w:t>
      </w:r>
      <w:r w:rsidR="009B30DB">
        <w:t>(1)</w:t>
      </w:r>
      <w:r w:rsidR="00EF6A0F">
        <w:t xml:space="preserve"> </w:t>
      </w:r>
      <w:proofErr w:type="spellStart"/>
      <w:r w:rsidR="00EF6A0F">
        <w:t>The</w:t>
      </w:r>
      <w:proofErr w:type="spellEnd"/>
      <w:r w:rsidR="00EF6A0F">
        <w:t xml:space="preserve"> </w:t>
      </w:r>
      <w:proofErr w:type="spellStart"/>
      <w:r w:rsidR="00EF6A0F">
        <w:t>provisions</w:t>
      </w:r>
      <w:proofErr w:type="spellEnd"/>
      <w:r w:rsidR="00EF6A0F">
        <w:t xml:space="preserve"> of </w:t>
      </w:r>
      <w:proofErr w:type="spellStart"/>
      <w:r w:rsidR="00EF6A0F">
        <w:t>this</w:t>
      </w:r>
      <w:proofErr w:type="spellEnd"/>
      <w:r w:rsidR="00EF6A0F">
        <w:t xml:space="preserve"> </w:t>
      </w:r>
      <w:proofErr w:type="spellStart"/>
      <w:r w:rsidR="00EF6A0F">
        <w:t>instruction</w:t>
      </w:r>
      <w:proofErr w:type="spellEnd"/>
      <w:r w:rsidR="00EF6A0F">
        <w:t xml:space="preserve"> </w:t>
      </w:r>
      <w:r w:rsidR="00DF0BFA">
        <w:t xml:space="preserve">is </w:t>
      </w:r>
      <w:proofErr w:type="spellStart"/>
      <w:r w:rsidR="00DF0BFA">
        <w:t>executed</w:t>
      </w:r>
      <w:proofErr w:type="spellEnd"/>
      <w:r w:rsidR="00DF0BFA">
        <w:t xml:space="preserve"> </w:t>
      </w:r>
      <w:proofErr w:type="spellStart"/>
      <w:r w:rsidR="00DF0BFA">
        <w:t>by</w:t>
      </w:r>
      <w:proofErr w:type="spellEnd"/>
      <w:r w:rsidR="00DF0BFA">
        <w:t xml:space="preserve"> </w:t>
      </w:r>
      <w:proofErr w:type="spellStart"/>
      <w:r w:rsidR="00DF0BFA">
        <w:t>the</w:t>
      </w:r>
      <w:proofErr w:type="spellEnd"/>
      <w:r w:rsidR="00DF0BFA">
        <w:t xml:space="preserve"> </w:t>
      </w:r>
      <w:proofErr w:type="spellStart"/>
      <w:r w:rsidR="00DF0BFA">
        <w:t>Rector</w:t>
      </w:r>
      <w:proofErr w:type="spellEnd"/>
      <w:r w:rsidR="00DF0BFA">
        <w:t xml:space="preserve"> of</w:t>
      </w:r>
      <w:r w:rsidR="009B30DB">
        <w:t xml:space="preserve"> </w:t>
      </w:r>
      <w:proofErr w:type="spellStart"/>
      <w:r w:rsidR="00DF0BFA">
        <w:t>I</w:t>
      </w:r>
      <w:r w:rsidR="009B30DB">
        <w:t>stanbul</w:t>
      </w:r>
      <w:proofErr w:type="spellEnd"/>
      <w:r w:rsidR="009B30DB">
        <w:t xml:space="preserve"> </w:t>
      </w:r>
      <w:proofErr w:type="spellStart"/>
      <w:r w:rsidR="009B30DB">
        <w:t>Medipol</w:t>
      </w:r>
      <w:proofErr w:type="spellEnd"/>
      <w:r w:rsidR="009B30DB">
        <w:t xml:space="preserve"> </w:t>
      </w:r>
      <w:proofErr w:type="spellStart"/>
      <w:r w:rsidR="00DF0BFA">
        <w:t>University</w:t>
      </w:r>
      <w:proofErr w:type="spellEnd"/>
      <w:r w:rsidR="00DF0BFA">
        <w:t>.</w:t>
      </w:r>
    </w:p>
    <w:p w14:paraId="2E4D2A48" w14:textId="77777777" w:rsidR="00DF0BFA" w:rsidRDefault="00DF0BFA" w:rsidP="00DF0BFA">
      <w:pPr>
        <w:pStyle w:val="GvdeMetni"/>
        <w:spacing w:before="43" w:line="276" w:lineRule="auto"/>
        <w:ind w:left="0" w:right="115" w:firstLine="0"/>
      </w:pPr>
    </w:p>
    <w:p w14:paraId="289CB61C" w14:textId="77777777" w:rsidR="00633B11" w:rsidRDefault="00633B11">
      <w:pPr>
        <w:pStyle w:val="GvdeMetni"/>
        <w:spacing w:before="7"/>
        <w:ind w:left="0" w:firstLine="0"/>
        <w:jc w:val="left"/>
        <w:rPr>
          <w:sz w:val="27"/>
        </w:rPr>
      </w:pPr>
    </w:p>
    <w:p w14:paraId="289CB61D" w14:textId="6C2CD0B4" w:rsidR="00633B11" w:rsidRDefault="009B30DB">
      <w:pPr>
        <w:pStyle w:val="GvdeMetni"/>
        <w:ind w:firstLine="0"/>
        <w:jc w:val="left"/>
      </w:pPr>
      <w:r>
        <w:t xml:space="preserve">* </w:t>
      </w:r>
      <w:proofErr w:type="spellStart"/>
      <w:r>
        <w:t>Accepted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Senate</w:t>
      </w:r>
      <w:r w:rsidR="00DB4ACC">
        <w:t>’</w:t>
      </w:r>
      <w:r>
        <w:t>s</w:t>
      </w:r>
      <w:proofErr w:type="spellEnd"/>
      <w:r>
        <w:t xml:space="preserve"> </w:t>
      </w:r>
      <w:proofErr w:type="spellStart"/>
      <w:r>
        <w:t>decision</w:t>
      </w:r>
      <w:proofErr w:type="spellEnd"/>
      <w:r>
        <w:t xml:space="preserve"> </w:t>
      </w:r>
      <w:proofErr w:type="spellStart"/>
      <w:r>
        <w:t>dated</w:t>
      </w:r>
      <w:proofErr w:type="spellEnd"/>
      <w:r>
        <w:t xml:space="preserve"> 23/01/2018 </w:t>
      </w:r>
      <w:proofErr w:type="spellStart"/>
      <w:r>
        <w:t>and</w:t>
      </w:r>
      <w:proofErr w:type="spellEnd"/>
      <w:r>
        <w:t xml:space="preserve"> </w:t>
      </w:r>
      <w:proofErr w:type="spellStart"/>
      <w:r>
        <w:t>numbered</w:t>
      </w:r>
      <w:proofErr w:type="spellEnd"/>
      <w:r>
        <w:t xml:space="preserve"> 2018/04-02.</w:t>
      </w:r>
    </w:p>
    <w:sectPr w:rsidR="00633B11"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83A4B"/>
    <w:multiLevelType w:val="hybridMultilevel"/>
    <w:tmpl w:val="37AE8418"/>
    <w:lvl w:ilvl="0" w:tplc="064A89E4">
      <w:start w:val="1"/>
      <w:numFmt w:val="lowerLetter"/>
      <w:lvlText w:val="%1)"/>
      <w:lvlJc w:val="left"/>
      <w:pPr>
        <w:ind w:left="116" w:hanging="2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65C0EE4A">
      <w:numFmt w:val="bullet"/>
      <w:lvlText w:val="•"/>
      <w:lvlJc w:val="left"/>
      <w:pPr>
        <w:ind w:left="1038" w:hanging="260"/>
      </w:pPr>
      <w:rPr>
        <w:rFonts w:hint="default"/>
      </w:rPr>
    </w:lvl>
    <w:lvl w:ilvl="2" w:tplc="3BCC93E8">
      <w:numFmt w:val="bullet"/>
      <w:lvlText w:val="•"/>
      <w:lvlJc w:val="left"/>
      <w:pPr>
        <w:ind w:left="1957" w:hanging="260"/>
      </w:pPr>
      <w:rPr>
        <w:rFonts w:hint="default"/>
      </w:rPr>
    </w:lvl>
    <w:lvl w:ilvl="3" w:tplc="904299F0">
      <w:numFmt w:val="bullet"/>
      <w:lvlText w:val="•"/>
      <w:lvlJc w:val="left"/>
      <w:pPr>
        <w:ind w:left="2875" w:hanging="260"/>
      </w:pPr>
      <w:rPr>
        <w:rFonts w:hint="default"/>
      </w:rPr>
    </w:lvl>
    <w:lvl w:ilvl="4" w:tplc="1D861600">
      <w:numFmt w:val="bullet"/>
      <w:lvlText w:val="•"/>
      <w:lvlJc w:val="left"/>
      <w:pPr>
        <w:ind w:left="3794" w:hanging="260"/>
      </w:pPr>
      <w:rPr>
        <w:rFonts w:hint="default"/>
      </w:rPr>
    </w:lvl>
    <w:lvl w:ilvl="5" w:tplc="4D066336">
      <w:numFmt w:val="bullet"/>
      <w:lvlText w:val="•"/>
      <w:lvlJc w:val="left"/>
      <w:pPr>
        <w:ind w:left="4713" w:hanging="260"/>
      </w:pPr>
      <w:rPr>
        <w:rFonts w:hint="default"/>
      </w:rPr>
    </w:lvl>
    <w:lvl w:ilvl="6" w:tplc="96025F42">
      <w:numFmt w:val="bullet"/>
      <w:lvlText w:val="•"/>
      <w:lvlJc w:val="left"/>
      <w:pPr>
        <w:ind w:left="5631" w:hanging="260"/>
      </w:pPr>
      <w:rPr>
        <w:rFonts w:hint="default"/>
      </w:rPr>
    </w:lvl>
    <w:lvl w:ilvl="7" w:tplc="BA689EE8">
      <w:numFmt w:val="bullet"/>
      <w:lvlText w:val="•"/>
      <w:lvlJc w:val="left"/>
      <w:pPr>
        <w:ind w:left="6550" w:hanging="260"/>
      </w:pPr>
      <w:rPr>
        <w:rFonts w:hint="default"/>
      </w:rPr>
    </w:lvl>
    <w:lvl w:ilvl="8" w:tplc="CAE8D006">
      <w:numFmt w:val="bullet"/>
      <w:lvlText w:val="•"/>
      <w:lvlJc w:val="left"/>
      <w:pPr>
        <w:ind w:left="7469" w:hanging="260"/>
      </w:pPr>
      <w:rPr>
        <w:rFonts w:hint="default"/>
      </w:rPr>
    </w:lvl>
  </w:abstractNum>
  <w:abstractNum w:abstractNumId="1" w15:restartNumberingAfterBreak="0">
    <w:nsid w:val="0ADB3145"/>
    <w:multiLevelType w:val="hybridMultilevel"/>
    <w:tmpl w:val="C0561C0A"/>
    <w:lvl w:ilvl="0" w:tplc="0F14F6AC">
      <w:start w:val="2"/>
      <w:numFmt w:val="decimal"/>
      <w:lvlText w:val="(%1)"/>
      <w:lvlJc w:val="left"/>
      <w:pPr>
        <w:ind w:left="116" w:hanging="411"/>
        <w:jc w:val="lef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AB184618">
      <w:numFmt w:val="bullet"/>
      <w:lvlText w:val="•"/>
      <w:lvlJc w:val="left"/>
      <w:pPr>
        <w:ind w:left="1038" w:hanging="411"/>
      </w:pPr>
      <w:rPr>
        <w:rFonts w:hint="default"/>
      </w:rPr>
    </w:lvl>
    <w:lvl w:ilvl="2" w:tplc="7FA2CD1E">
      <w:numFmt w:val="bullet"/>
      <w:lvlText w:val="•"/>
      <w:lvlJc w:val="left"/>
      <w:pPr>
        <w:ind w:left="1957" w:hanging="411"/>
      </w:pPr>
      <w:rPr>
        <w:rFonts w:hint="default"/>
      </w:rPr>
    </w:lvl>
    <w:lvl w:ilvl="3" w:tplc="7B78383E">
      <w:numFmt w:val="bullet"/>
      <w:lvlText w:val="•"/>
      <w:lvlJc w:val="left"/>
      <w:pPr>
        <w:ind w:left="2875" w:hanging="411"/>
      </w:pPr>
      <w:rPr>
        <w:rFonts w:hint="default"/>
      </w:rPr>
    </w:lvl>
    <w:lvl w:ilvl="4" w:tplc="02BC28D4">
      <w:numFmt w:val="bullet"/>
      <w:lvlText w:val="•"/>
      <w:lvlJc w:val="left"/>
      <w:pPr>
        <w:ind w:left="3794" w:hanging="411"/>
      </w:pPr>
      <w:rPr>
        <w:rFonts w:hint="default"/>
      </w:rPr>
    </w:lvl>
    <w:lvl w:ilvl="5" w:tplc="C3D2C680">
      <w:numFmt w:val="bullet"/>
      <w:lvlText w:val="•"/>
      <w:lvlJc w:val="left"/>
      <w:pPr>
        <w:ind w:left="4713" w:hanging="411"/>
      </w:pPr>
      <w:rPr>
        <w:rFonts w:hint="default"/>
      </w:rPr>
    </w:lvl>
    <w:lvl w:ilvl="6" w:tplc="95B60E0E">
      <w:numFmt w:val="bullet"/>
      <w:lvlText w:val="•"/>
      <w:lvlJc w:val="left"/>
      <w:pPr>
        <w:ind w:left="5631" w:hanging="411"/>
      </w:pPr>
      <w:rPr>
        <w:rFonts w:hint="default"/>
      </w:rPr>
    </w:lvl>
    <w:lvl w:ilvl="7" w:tplc="83DACE6A">
      <w:numFmt w:val="bullet"/>
      <w:lvlText w:val="•"/>
      <w:lvlJc w:val="left"/>
      <w:pPr>
        <w:ind w:left="6550" w:hanging="411"/>
      </w:pPr>
      <w:rPr>
        <w:rFonts w:hint="default"/>
      </w:rPr>
    </w:lvl>
    <w:lvl w:ilvl="8" w:tplc="6322864A">
      <w:numFmt w:val="bullet"/>
      <w:lvlText w:val="•"/>
      <w:lvlJc w:val="left"/>
      <w:pPr>
        <w:ind w:left="7469" w:hanging="411"/>
      </w:pPr>
      <w:rPr>
        <w:rFonts w:hint="default"/>
      </w:rPr>
    </w:lvl>
  </w:abstractNum>
  <w:abstractNum w:abstractNumId="2" w15:restartNumberingAfterBreak="0">
    <w:nsid w:val="16C079F6"/>
    <w:multiLevelType w:val="hybridMultilevel"/>
    <w:tmpl w:val="6DE8F9B6"/>
    <w:lvl w:ilvl="0" w:tplc="6068D426">
      <w:start w:val="2"/>
      <w:numFmt w:val="decimal"/>
      <w:lvlText w:val="(%1)"/>
      <w:lvlJc w:val="left"/>
      <w:pPr>
        <w:ind w:left="116" w:hanging="35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5C76B4C4">
      <w:numFmt w:val="bullet"/>
      <w:lvlText w:val="•"/>
      <w:lvlJc w:val="left"/>
      <w:pPr>
        <w:ind w:left="1038" w:hanging="353"/>
      </w:pPr>
      <w:rPr>
        <w:rFonts w:hint="default"/>
      </w:rPr>
    </w:lvl>
    <w:lvl w:ilvl="2" w:tplc="72628B26">
      <w:numFmt w:val="bullet"/>
      <w:lvlText w:val="•"/>
      <w:lvlJc w:val="left"/>
      <w:pPr>
        <w:ind w:left="1957" w:hanging="353"/>
      </w:pPr>
      <w:rPr>
        <w:rFonts w:hint="default"/>
      </w:rPr>
    </w:lvl>
    <w:lvl w:ilvl="3" w:tplc="C10EB7DE">
      <w:numFmt w:val="bullet"/>
      <w:lvlText w:val="•"/>
      <w:lvlJc w:val="left"/>
      <w:pPr>
        <w:ind w:left="2875" w:hanging="353"/>
      </w:pPr>
      <w:rPr>
        <w:rFonts w:hint="default"/>
      </w:rPr>
    </w:lvl>
    <w:lvl w:ilvl="4" w:tplc="313C3EE4">
      <w:numFmt w:val="bullet"/>
      <w:lvlText w:val="•"/>
      <w:lvlJc w:val="left"/>
      <w:pPr>
        <w:ind w:left="3794" w:hanging="353"/>
      </w:pPr>
      <w:rPr>
        <w:rFonts w:hint="default"/>
      </w:rPr>
    </w:lvl>
    <w:lvl w:ilvl="5" w:tplc="02EEAAAE">
      <w:numFmt w:val="bullet"/>
      <w:lvlText w:val="•"/>
      <w:lvlJc w:val="left"/>
      <w:pPr>
        <w:ind w:left="4713" w:hanging="353"/>
      </w:pPr>
      <w:rPr>
        <w:rFonts w:hint="default"/>
      </w:rPr>
    </w:lvl>
    <w:lvl w:ilvl="6" w:tplc="50F8C216">
      <w:numFmt w:val="bullet"/>
      <w:lvlText w:val="•"/>
      <w:lvlJc w:val="left"/>
      <w:pPr>
        <w:ind w:left="5631" w:hanging="353"/>
      </w:pPr>
      <w:rPr>
        <w:rFonts w:hint="default"/>
      </w:rPr>
    </w:lvl>
    <w:lvl w:ilvl="7" w:tplc="5964D49C">
      <w:numFmt w:val="bullet"/>
      <w:lvlText w:val="•"/>
      <w:lvlJc w:val="left"/>
      <w:pPr>
        <w:ind w:left="6550" w:hanging="353"/>
      </w:pPr>
      <w:rPr>
        <w:rFonts w:hint="default"/>
      </w:rPr>
    </w:lvl>
    <w:lvl w:ilvl="8" w:tplc="10F4E146">
      <w:numFmt w:val="bullet"/>
      <w:lvlText w:val="•"/>
      <w:lvlJc w:val="left"/>
      <w:pPr>
        <w:ind w:left="7469" w:hanging="353"/>
      </w:pPr>
      <w:rPr>
        <w:rFonts w:hint="default"/>
      </w:rPr>
    </w:lvl>
  </w:abstractNum>
  <w:abstractNum w:abstractNumId="3" w15:restartNumberingAfterBreak="0">
    <w:nsid w:val="1EDA408F"/>
    <w:multiLevelType w:val="hybridMultilevel"/>
    <w:tmpl w:val="C4BE29C2"/>
    <w:lvl w:ilvl="0" w:tplc="4EE62B22">
      <w:start w:val="2"/>
      <w:numFmt w:val="decimal"/>
      <w:lvlText w:val="(%1)"/>
      <w:lvlJc w:val="left"/>
      <w:pPr>
        <w:ind w:left="116" w:hanging="380"/>
        <w:jc w:val="left"/>
      </w:pPr>
      <w:rPr>
        <w:rFonts w:ascii="Times New Roman" w:eastAsia="Times New Roman" w:hAnsi="Times New Roman" w:cs="Times New Roman" w:hint="default"/>
        <w:spacing w:val="-21"/>
        <w:w w:val="99"/>
        <w:sz w:val="24"/>
        <w:szCs w:val="24"/>
      </w:rPr>
    </w:lvl>
    <w:lvl w:ilvl="1" w:tplc="2F066D4C">
      <w:numFmt w:val="bullet"/>
      <w:lvlText w:val="•"/>
      <w:lvlJc w:val="left"/>
      <w:pPr>
        <w:ind w:left="1038" w:hanging="380"/>
      </w:pPr>
      <w:rPr>
        <w:rFonts w:hint="default"/>
      </w:rPr>
    </w:lvl>
    <w:lvl w:ilvl="2" w:tplc="8DEC3EC4">
      <w:numFmt w:val="bullet"/>
      <w:lvlText w:val="•"/>
      <w:lvlJc w:val="left"/>
      <w:pPr>
        <w:ind w:left="1957" w:hanging="380"/>
      </w:pPr>
      <w:rPr>
        <w:rFonts w:hint="default"/>
      </w:rPr>
    </w:lvl>
    <w:lvl w:ilvl="3" w:tplc="6C349B36">
      <w:numFmt w:val="bullet"/>
      <w:lvlText w:val="•"/>
      <w:lvlJc w:val="left"/>
      <w:pPr>
        <w:ind w:left="2875" w:hanging="380"/>
      </w:pPr>
      <w:rPr>
        <w:rFonts w:hint="default"/>
      </w:rPr>
    </w:lvl>
    <w:lvl w:ilvl="4" w:tplc="1488180A">
      <w:numFmt w:val="bullet"/>
      <w:lvlText w:val="•"/>
      <w:lvlJc w:val="left"/>
      <w:pPr>
        <w:ind w:left="3794" w:hanging="380"/>
      </w:pPr>
      <w:rPr>
        <w:rFonts w:hint="default"/>
      </w:rPr>
    </w:lvl>
    <w:lvl w:ilvl="5" w:tplc="B1C68ABE">
      <w:numFmt w:val="bullet"/>
      <w:lvlText w:val="•"/>
      <w:lvlJc w:val="left"/>
      <w:pPr>
        <w:ind w:left="4713" w:hanging="380"/>
      </w:pPr>
      <w:rPr>
        <w:rFonts w:hint="default"/>
      </w:rPr>
    </w:lvl>
    <w:lvl w:ilvl="6" w:tplc="2602A6B2">
      <w:numFmt w:val="bullet"/>
      <w:lvlText w:val="•"/>
      <w:lvlJc w:val="left"/>
      <w:pPr>
        <w:ind w:left="5631" w:hanging="380"/>
      </w:pPr>
      <w:rPr>
        <w:rFonts w:hint="default"/>
      </w:rPr>
    </w:lvl>
    <w:lvl w:ilvl="7" w:tplc="69B23164">
      <w:numFmt w:val="bullet"/>
      <w:lvlText w:val="•"/>
      <w:lvlJc w:val="left"/>
      <w:pPr>
        <w:ind w:left="6550" w:hanging="380"/>
      </w:pPr>
      <w:rPr>
        <w:rFonts w:hint="default"/>
      </w:rPr>
    </w:lvl>
    <w:lvl w:ilvl="8" w:tplc="53B4A25C">
      <w:numFmt w:val="bullet"/>
      <w:lvlText w:val="•"/>
      <w:lvlJc w:val="left"/>
      <w:pPr>
        <w:ind w:left="7469" w:hanging="380"/>
      </w:pPr>
      <w:rPr>
        <w:rFonts w:hint="default"/>
      </w:rPr>
    </w:lvl>
  </w:abstractNum>
  <w:abstractNum w:abstractNumId="4" w15:restartNumberingAfterBreak="0">
    <w:nsid w:val="261E0E4E"/>
    <w:multiLevelType w:val="hybridMultilevel"/>
    <w:tmpl w:val="E24ACEFE"/>
    <w:lvl w:ilvl="0" w:tplc="7AF6B6C2">
      <w:start w:val="2"/>
      <w:numFmt w:val="decimal"/>
      <w:lvlText w:val="(%1)"/>
      <w:lvlJc w:val="left"/>
      <w:pPr>
        <w:ind w:left="116" w:hanging="34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D2A8FF9E">
      <w:numFmt w:val="bullet"/>
      <w:lvlText w:val="•"/>
      <w:lvlJc w:val="left"/>
      <w:pPr>
        <w:ind w:left="1038" w:hanging="344"/>
      </w:pPr>
      <w:rPr>
        <w:rFonts w:hint="default"/>
      </w:rPr>
    </w:lvl>
    <w:lvl w:ilvl="2" w:tplc="ED2443A8">
      <w:numFmt w:val="bullet"/>
      <w:lvlText w:val="•"/>
      <w:lvlJc w:val="left"/>
      <w:pPr>
        <w:ind w:left="1957" w:hanging="344"/>
      </w:pPr>
      <w:rPr>
        <w:rFonts w:hint="default"/>
      </w:rPr>
    </w:lvl>
    <w:lvl w:ilvl="3" w:tplc="078CCCA8">
      <w:numFmt w:val="bullet"/>
      <w:lvlText w:val="•"/>
      <w:lvlJc w:val="left"/>
      <w:pPr>
        <w:ind w:left="2875" w:hanging="344"/>
      </w:pPr>
      <w:rPr>
        <w:rFonts w:hint="default"/>
      </w:rPr>
    </w:lvl>
    <w:lvl w:ilvl="4" w:tplc="D37CEFD2">
      <w:numFmt w:val="bullet"/>
      <w:lvlText w:val="•"/>
      <w:lvlJc w:val="left"/>
      <w:pPr>
        <w:ind w:left="3794" w:hanging="344"/>
      </w:pPr>
      <w:rPr>
        <w:rFonts w:hint="default"/>
      </w:rPr>
    </w:lvl>
    <w:lvl w:ilvl="5" w:tplc="04E88E80">
      <w:numFmt w:val="bullet"/>
      <w:lvlText w:val="•"/>
      <w:lvlJc w:val="left"/>
      <w:pPr>
        <w:ind w:left="4713" w:hanging="344"/>
      </w:pPr>
      <w:rPr>
        <w:rFonts w:hint="default"/>
      </w:rPr>
    </w:lvl>
    <w:lvl w:ilvl="6" w:tplc="3306CBB2">
      <w:numFmt w:val="bullet"/>
      <w:lvlText w:val="•"/>
      <w:lvlJc w:val="left"/>
      <w:pPr>
        <w:ind w:left="5631" w:hanging="344"/>
      </w:pPr>
      <w:rPr>
        <w:rFonts w:hint="default"/>
      </w:rPr>
    </w:lvl>
    <w:lvl w:ilvl="7" w:tplc="F0CEAF42">
      <w:numFmt w:val="bullet"/>
      <w:lvlText w:val="•"/>
      <w:lvlJc w:val="left"/>
      <w:pPr>
        <w:ind w:left="6550" w:hanging="344"/>
      </w:pPr>
      <w:rPr>
        <w:rFonts w:hint="default"/>
      </w:rPr>
    </w:lvl>
    <w:lvl w:ilvl="8" w:tplc="2604D306">
      <w:numFmt w:val="bullet"/>
      <w:lvlText w:val="•"/>
      <w:lvlJc w:val="left"/>
      <w:pPr>
        <w:ind w:left="7469" w:hanging="344"/>
      </w:pPr>
      <w:rPr>
        <w:rFonts w:hint="default"/>
      </w:rPr>
    </w:lvl>
  </w:abstractNum>
  <w:abstractNum w:abstractNumId="5" w15:restartNumberingAfterBreak="0">
    <w:nsid w:val="60BB411D"/>
    <w:multiLevelType w:val="hybridMultilevel"/>
    <w:tmpl w:val="78D01E32"/>
    <w:lvl w:ilvl="0" w:tplc="D00257DA">
      <w:start w:val="2"/>
      <w:numFmt w:val="decimal"/>
      <w:lvlText w:val="(%1)"/>
      <w:lvlJc w:val="left"/>
      <w:pPr>
        <w:ind w:left="116" w:hanging="339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BAB077E0">
      <w:numFmt w:val="bullet"/>
      <w:lvlText w:val="•"/>
      <w:lvlJc w:val="left"/>
      <w:pPr>
        <w:ind w:left="1038" w:hanging="339"/>
      </w:pPr>
      <w:rPr>
        <w:rFonts w:hint="default"/>
      </w:rPr>
    </w:lvl>
    <w:lvl w:ilvl="2" w:tplc="33D499A0">
      <w:numFmt w:val="bullet"/>
      <w:lvlText w:val="•"/>
      <w:lvlJc w:val="left"/>
      <w:pPr>
        <w:ind w:left="1957" w:hanging="339"/>
      </w:pPr>
      <w:rPr>
        <w:rFonts w:hint="default"/>
      </w:rPr>
    </w:lvl>
    <w:lvl w:ilvl="3" w:tplc="2C88A824">
      <w:numFmt w:val="bullet"/>
      <w:lvlText w:val="•"/>
      <w:lvlJc w:val="left"/>
      <w:pPr>
        <w:ind w:left="2875" w:hanging="339"/>
      </w:pPr>
      <w:rPr>
        <w:rFonts w:hint="default"/>
      </w:rPr>
    </w:lvl>
    <w:lvl w:ilvl="4" w:tplc="117660DC">
      <w:numFmt w:val="bullet"/>
      <w:lvlText w:val="•"/>
      <w:lvlJc w:val="left"/>
      <w:pPr>
        <w:ind w:left="3794" w:hanging="339"/>
      </w:pPr>
      <w:rPr>
        <w:rFonts w:hint="default"/>
      </w:rPr>
    </w:lvl>
    <w:lvl w:ilvl="5" w:tplc="393C1254">
      <w:numFmt w:val="bullet"/>
      <w:lvlText w:val="•"/>
      <w:lvlJc w:val="left"/>
      <w:pPr>
        <w:ind w:left="4713" w:hanging="339"/>
      </w:pPr>
      <w:rPr>
        <w:rFonts w:hint="default"/>
      </w:rPr>
    </w:lvl>
    <w:lvl w:ilvl="6" w:tplc="95F68002">
      <w:numFmt w:val="bullet"/>
      <w:lvlText w:val="•"/>
      <w:lvlJc w:val="left"/>
      <w:pPr>
        <w:ind w:left="5631" w:hanging="339"/>
      </w:pPr>
      <w:rPr>
        <w:rFonts w:hint="default"/>
      </w:rPr>
    </w:lvl>
    <w:lvl w:ilvl="7" w:tplc="494A156C">
      <w:numFmt w:val="bullet"/>
      <w:lvlText w:val="•"/>
      <w:lvlJc w:val="left"/>
      <w:pPr>
        <w:ind w:left="6550" w:hanging="339"/>
      </w:pPr>
      <w:rPr>
        <w:rFonts w:hint="default"/>
      </w:rPr>
    </w:lvl>
    <w:lvl w:ilvl="8" w:tplc="2A52D5F8">
      <w:numFmt w:val="bullet"/>
      <w:lvlText w:val="•"/>
      <w:lvlJc w:val="left"/>
      <w:pPr>
        <w:ind w:left="7469" w:hanging="339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IxNbawMDc0MDAwNzZQ0lEKTi0uzszPAykwqwUAZIAdRCwAAAA="/>
  </w:docVars>
  <w:rsids>
    <w:rsidRoot w:val="00633B11"/>
    <w:rsid w:val="000002CD"/>
    <w:rsid w:val="00061D8B"/>
    <w:rsid w:val="001828D0"/>
    <w:rsid w:val="00511AAF"/>
    <w:rsid w:val="005F6751"/>
    <w:rsid w:val="00633B11"/>
    <w:rsid w:val="00702712"/>
    <w:rsid w:val="00853849"/>
    <w:rsid w:val="00871272"/>
    <w:rsid w:val="008D5BE0"/>
    <w:rsid w:val="009A5AA4"/>
    <w:rsid w:val="009B30DB"/>
    <w:rsid w:val="00A67105"/>
    <w:rsid w:val="00DB4ACC"/>
    <w:rsid w:val="00DD252F"/>
    <w:rsid w:val="00DE074A"/>
    <w:rsid w:val="00DF0BFA"/>
    <w:rsid w:val="00EB4549"/>
    <w:rsid w:val="00EF6A0F"/>
    <w:rsid w:val="00FD2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CB50D"/>
  <w15:docId w15:val="{22370877-E535-4089-88AF-AA132D615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tr-TR" w:eastAsia="tr-TR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uiPriority w:val="9"/>
    <w:qFormat/>
    <w:pPr>
      <w:ind w:left="824"/>
      <w:outlineLvl w:val="0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16" w:firstLine="708"/>
      <w:jc w:val="both"/>
    </w:pPr>
    <w:rPr>
      <w:sz w:val="24"/>
    </w:rPr>
  </w:style>
  <w:style w:type="paragraph" w:styleId="ListeParagraf">
    <w:name w:val="List Paragraph"/>
    <w:basedOn w:val="Normal"/>
    <w:uiPriority w:val="1"/>
    <w:qFormat/>
    <w:pPr>
      <w:ind w:left="116" w:right="117" w:firstLine="708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102"/>
    </w:pPr>
  </w:style>
  <w:style w:type="paragraph" w:customStyle="1" w:styleId="P68B1DB1-Normal1">
    <w:name w:val="P68B1DB1-Normal1"/>
    <w:basedOn w:val="Normal"/>
    <w:rPr>
      <w:b/>
      <w:sz w:val="24"/>
    </w:rPr>
  </w:style>
  <w:style w:type="paragraph" w:customStyle="1" w:styleId="P68B1DB1-ListParagraph2">
    <w:name w:val="P68B1DB1-ListParagraph2"/>
    <w:basedOn w:val="ListeParagraf"/>
    <w:rPr>
      <w:sz w:val="24"/>
    </w:rPr>
  </w:style>
  <w:style w:type="paragraph" w:customStyle="1" w:styleId="P68B1DB1-TableParagraph3">
    <w:name w:val="P68B1DB1-TableParagraph3"/>
    <w:basedOn w:val="TableParagraph"/>
    <w:rPr>
      <w:b/>
      <w:sz w:val="24"/>
    </w:rPr>
  </w:style>
  <w:style w:type="paragraph" w:customStyle="1" w:styleId="P68B1DB1-TableParagraph4">
    <w:name w:val="P68B1DB1-TableParagraph4"/>
    <w:basedOn w:val="TableParagraph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2180</Words>
  <Characters>12427</Characters>
  <Application>Microsoft Office Word</Application>
  <DocSecurity>0</DocSecurity>
  <Lines>103</Lines>
  <Paragraphs>29</Paragraphs>
  <ScaleCrop>false</ScaleCrop>
  <Company/>
  <LinksUpToDate>false</LinksUpToDate>
  <CharactersWithSpaces>14578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İsmail KAYNAR</dc:creator>
  <cp:lastModifiedBy>Şebnem GÜNGÖR</cp:lastModifiedBy>
  <cp:revision>2</cp:revision>
  <dcterms:created xsi:type="dcterms:W3CDTF">2021-10-20T10:13:00Z</dcterms:created>
  <dcterms:modified xsi:type="dcterms:W3CDTF">2021-10-20T10:13:00Z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2021-06-30T00:00:00Z</vt:filetime>
  </property>
</Properties>
</file>